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5D506">
      <w:pPr>
        <w:pStyle w:val="48"/>
        <w:spacing w:line="240" w:lineRule="exact"/>
        <w:rPr>
          <w:rFonts w:hint="eastAsia"/>
          <w:b/>
          <w:sz w:val="21"/>
          <w:szCs w:val="21"/>
        </w:rPr>
      </w:pPr>
    </w:p>
    <w:p w14:paraId="341A3FAA">
      <w:pPr>
        <w:pStyle w:val="48"/>
        <w:spacing w:line="240" w:lineRule="exact"/>
        <w:rPr>
          <w:rFonts w:hint="eastAsia"/>
          <w:b/>
          <w:sz w:val="21"/>
          <w:szCs w:val="21"/>
        </w:rPr>
      </w:pPr>
    </w:p>
    <w:p w14:paraId="6E093997">
      <w:pPr>
        <w:pStyle w:val="48"/>
        <w:spacing w:line="240" w:lineRule="exact"/>
        <w:rPr>
          <w:rFonts w:hint="eastAsia"/>
          <w:b/>
          <w:sz w:val="21"/>
          <w:szCs w:val="21"/>
        </w:rPr>
      </w:pPr>
    </w:p>
    <w:p w14:paraId="72F35814">
      <w:pPr>
        <w:pStyle w:val="48"/>
        <w:ind w:right="-57" w:rightChars="-27"/>
        <w:jc w:val="distribute"/>
        <w:rPr>
          <w:rFonts w:hint="eastAsia"/>
          <w:b/>
          <w:sz w:val="72"/>
          <w:szCs w:val="72"/>
        </w:rPr>
      </w:pPr>
      <w:r>
        <w:rPr>
          <w:rFonts w:hint="eastAsia"/>
          <w:b/>
          <w:sz w:val="72"/>
          <w:szCs w:val="72"/>
        </w:rPr>
        <w:t>室内热湿环境评价</w:t>
      </w:r>
    </w:p>
    <w:p w14:paraId="7C86EBC7">
      <w:pPr>
        <w:pStyle w:val="52"/>
        <w:rPr>
          <w:rFonts w:hint="eastAsia"/>
          <w:sz w:val="52"/>
          <w:szCs w:val="52"/>
        </w:rPr>
      </w:pPr>
      <w:bookmarkStart w:id="0" w:name="建筑类别"/>
      <w:r>
        <w:rPr>
          <w:rFonts w:hint="eastAsia"/>
          <w:sz w:val="52"/>
          <w:szCs w:val="52"/>
        </w:rPr>
        <w:t>公共建筑</w:t>
      </w:r>
    </w:p>
    <w:bookmarkEnd w:id="0"/>
    <w:p w14:paraId="5F101C84">
      <w:pPr>
        <w:pStyle w:val="52"/>
        <w:spacing w:line="400" w:lineRule="exact"/>
        <w:rPr>
          <w:rFonts w:hint="eastAsia"/>
        </w:rPr>
      </w:pPr>
    </w:p>
    <w:p w14:paraId="0822CB19">
      <w:pPr>
        <w:pStyle w:val="52"/>
        <w:rPr>
          <w:rFonts w:hint="eastAsia"/>
          <w:sz w:val="36"/>
          <w:szCs w:val="36"/>
        </w:rPr>
      </w:pPr>
      <w:bookmarkStart w:id="1" w:name="项目名称"/>
      <w:r>
        <w:rPr>
          <w:rFonts w:hint="eastAsia"/>
          <w:sz w:val="36"/>
          <w:szCs w:val="36"/>
        </w:rPr>
        <w:t>庙子镇中学</w:t>
      </w:r>
    </w:p>
    <w:bookmarkEnd w:id="1"/>
    <w:p w14:paraId="39D63B13">
      <w:pPr>
        <w:pStyle w:val="52"/>
        <w:rPr>
          <w:rFonts w:hint="eastAsia"/>
          <w:b/>
        </w:rPr>
      </w:pPr>
      <w:r>
        <w:rPr>
          <w:rFonts w:hint="eastAsia"/>
          <w:b/>
        </w:rPr>
        <w:t>设计编号：</w:t>
      </w:r>
      <w:bookmarkStart w:id="2" w:name="设计编号"/>
      <w:r>
        <w:t>9674123</w:t>
      </w:r>
      <w:bookmarkEnd w:id="2"/>
    </w:p>
    <w:p w14:paraId="6AA51C32">
      <w:pPr>
        <w:pStyle w:val="52"/>
        <w:rPr>
          <w:rFonts w:hint="eastAsia"/>
          <w:b/>
        </w:rPr>
      </w:pPr>
    </w:p>
    <w:p w14:paraId="5B379144">
      <w:pPr>
        <w:pStyle w:val="48"/>
        <w:jc w:val="center"/>
        <w:rPr>
          <w:rFonts w:hint="eastAsia"/>
          <w:sz w:val="21"/>
          <w:szCs w:val="21"/>
        </w:rPr>
      </w:pPr>
      <w:bookmarkStart w:id="3" w:name="二维码"/>
      <w:bookmarkEnd w:id="3"/>
    </w:p>
    <w:p w14:paraId="7DCCB524">
      <w:pPr>
        <w:pStyle w:val="48"/>
        <w:spacing w:line="240" w:lineRule="exact"/>
        <w:rPr>
          <w:rFonts w:hint="eastAsia"/>
          <w:sz w:val="21"/>
          <w:szCs w:val="21"/>
        </w:rPr>
      </w:pPr>
    </w:p>
    <w:p w14:paraId="314E254F">
      <w:pPr>
        <w:pStyle w:val="48"/>
        <w:spacing w:line="240" w:lineRule="exact"/>
        <w:rPr>
          <w:rFonts w:hint="eastAsia"/>
          <w:sz w:val="21"/>
          <w:szCs w:val="21"/>
        </w:rPr>
      </w:pPr>
    </w:p>
    <w:tbl>
      <w:tblPr>
        <w:tblStyle w:val="23"/>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2FF6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DFA0BA9">
            <w:pPr>
              <w:pStyle w:val="48"/>
              <w:spacing w:line="600" w:lineRule="exact"/>
              <w:jc w:val="distribute"/>
              <w:rPr>
                <w:rFonts w:hint="eastAsia"/>
              </w:rPr>
            </w:pPr>
            <w:r>
              <w:rPr>
                <w:rFonts w:hint="eastAsia"/>
              </w:rPr>
              <w:t>工程地点</w:t>
            </w:r>
          </w:p>
        </w:tc>
        <w:tc>
          <w:tcPr>
            <w:tcW w:w="475" w:type="dxa"/>
            <w:vAlign w:val="center"/>
          </w:tcPr>
          <w:p w14:paraId="1C9E2292">
            <w:pPr>
              <w:pStyle w:val="48"/>
              <w:spacing w:line="600" w:lineRule="exact"/>
              <w:ind w:right="-31" w:rightChars="-15"/>
              <w:jc w:val="center"/>
              <w:rPr>
                <w:rFonts w:hint="eastAsia"/>
              </w:rPr>
            </w:pPr>
            <w:r>
              <w:rPr>
                <w:rFonts w:hint="eastAsia"/>
              </w:rPr>
              <w:t>：</w:t>
            </w:r>
          </w:p>
        </w:tc>
        <w:tc>
          <w:tcPr>
            <w:tcW w:w="4624" w:type="dxa"/>
            <w:tcBorders>
              <w:bottom w:val="single" w:color="auto" w:sz="4" w:space="0"/>
            </w:tcBorders>
            <w:vAlign w:val="center"/>
          </w:tcPr>
          <w:p w14:paraId="79A0FC26">
            <w:pPr>
              <w:pStyle w:val="48"/>
              <w:spacing w:line="600" w:lineRule="exact"/>
              <w:jc w:val="center"/>
              <w:rPr>
                <w:rFonts w:hint="eastAsia"/>
              </w:rPr>
            </w:pPr>
            <w:bookmarkStart w:id="4" w:name="项目地点"/>
            <w:r>
              <w:t>洛阳</w:t>
            </w:r>
            <w:bookmarkEnd w:id="4"/>
            <w:bookmarkStart w:id="5" w:name="工程地点"/>
            <w:bookmarkEnd w:id="5"/>
          </w:p>
        </w:tc>
      </w:tr>
      <w:tr w14:paraId="40ED4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3D28E9E">
            <w:pPr>
              <w:pStyle w:val="48"/>
              <w:spacing w:line="600" w:lineRule="exact"/>
              <w:jc w:val="distribute"/>
              <w:rPr>
                <w:rFonts w:hint="eastAsia"/>
              </w:rPr>
            </w:pPr>
            <w:r>
              <w:rPr>
                <w:rFonts w:hint="eastAsia"/>
              </w:rPr>
              <w:t>建设单位</w:t>
            </w:r>
          </w:p>
        </w:tc>
        <w:tc>
          <w:tcPr>
            <w:tcW w:w="475" w:type="dxa"/>
            <w:vAlign w:val="center"/>
          </w:tcPr>
          <w:p w14:paraId="0FB60916">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5587419F">
            <w:pPr>
              <w:pStyle w:val="48"/>
              <w:spacing w:line="600" w:lineRule="exact"/>
              <w:jc w:val="center"/>
              <w:rPr>
                <w:rFonts w:hint="eastAsia"/>
              </w:rPr>
            </w:pPr>
            <w:bookmarkStart w:id="6" w:name="建设单位"/>
            <w:r>
              <w:t>庙子镇政府</w:t>
            </w:r>
            <w:bookmarkEnd w:id="6"/>
          </w:p>
        </w:tc>
      </w:tr>
      <w:tr w14:paraId="24408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9AA2F3F">
            <w:pPr>
              <w:pStyle w:val="48"/>
              <w:spacing w:line="600" w:lineRule="exact"/>
              <w:jc w:val="distribute"/>
              <w:rPr>
                <w:rFonts w:hint="eastAsia"/>
              </w:rPr>
            </w:pPr>
            <w:r>
              <w:rPr>
                <w:rFonts w:hint="eastAsia"/>
              </w:rPr>
              <w:t>设计单位</w:t>
            </w:r>
          </w:p>
        </w:tc>
        <w:tc>
          <w:tcPr>
            <w:tcW w:w="475" w:type="dxa"/>
            <w:vAlign w:val="center"/>
          </w:tcPr>
          <w:p w14:paraId="40E36A3D">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6F6F84A4">
            <w:pPr>
              <w:pStyle w:val="48"/>
              <w:spacing w:line="600" w:lineRule="exact"/>
              <w:jc w:val="center"/>
              <w:rPr>
                <w:rFonts w:hint="eastAsia"/>
              </w:rPr>
            </w:pPr>
            <w:bookmarkStart w:id="7" w:name="设计单位"/>
            <w:r>
              <w:t>洛阳建筑设计单位</w:t>
            </w:r>
            <w:bookmarkEnd w:id="7"/>
          </w:p>
        </w:tc>
      </w:tr>
      <w:tr w14:paraId="7259A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AEDB218">
            <w:pPr>
              <w:pStyle w:val="48"/>
              <w:spacing w:line="600" w:lineRule="exact"/>
              <w:jc w:val="distribute"/>
              <w:rPr>
                <w:rFonts w:hint="eastAsia"/>
              </w:rPr>
            </w:pPr>
            <w:r>
              <w:rPr>
                <w:rFonts w:hint="eastAsia"/>
              </w:rPr>
              <w:t>设计人</w:t>
            </w:r>
          </w:p>
        </w:tc>
        <w:tc>
          <w:tcPr>
            <w:tcW w:w="475" w:type="dxa"/>
            <w:vAlign w:val="center"/>
          </w:tcPr>
          <w:p w14:paraId="6BD6282B">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11CFF794">
            <w:pPr>
              <w:pStyle w:val="48"/>
              <w:spacing w:line="600" w:lineRule="exact"/>
              <w:jc w:val="center"/>
              <w:rPr>
                <w:rFonts w:hint="eastAsia"/>
              </w:rPr>
            </w:pPr>
          </w:p>
        </w:tc>
      </w:tr>
      <w:tr w14:paraId="016F1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74BFF1B1">
            <w:pPr>
              <w:pStyle w:val="48"/>
              <w:spacing w:line="600" w:lineRule="exact"/>
              <w:jc w:val="distribute"/>
              <w:rPr>
                <w:rFonts w:hint="eastAsia"/>
              </w:rPr>
            </w:pPr>
            <w:r>
              <w:rPr>
                <w:rFonts w:hint="eastAsia"/>
              </w:rPr>
              <w:t>校对人</w:t>
            </w:r>
          </w:p>
        </w:tc>
        <w:tc>
          <w:tcPr>
            <w:tcW w:w="475" w:type="dxa"/>
            <w:vAlign w:val="center"/>
          </w:tcPr>
          <w:p w14:paraId="02A7F888">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00F63C2C">
            <w:pPr>
              <w:pStyle w:val="48"/>
              <w:spacing w:line="600" w:lineRule="exact"/>
              <w:jc w:val="center"/>
              <w:rPr>
                <w:rFonts w:hint="eastAsia"/>
              </w:rPr>
            </w:pPr>
          </w:p>
        </w:tc>
      </w:tr>
      <w:tr w14:paraId="134ED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CFB1D04">
            <w:pPr>
              <w:pStyle w:val="48"/>
              <w:spacing w:line="600" w:lineRule="exact"/>
              <w:jc w:val="distribute"/>
              <w:rPr>
                <w:rFonts w:hint="eastAsia"/>
              </w:rPr>
            </w:pPr>
            <w:r>
              <w:rPr>
                <w:rFonts w:hint="eastAsia"/>
              </w:rPr>
              <w:t>审定人</w:t>
            </w:r>
          </w:p>
        </w:tc>
        <w:tc>
          <w:tcPr>
            <w:tcW w:w="475" w:type="dxa"/>
            <w:vAlign w:val="center"/>
          </w:tcPr>
          <w:p w14:paraId="6894D42F">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309D0829">
            <w:pPr>
              <w:pStyle w:val="48"/>
              <w:spacing w:line="600" w:lineRule="exact"/>
              <w:jc w:val="center"/>
              <w:rPr>
                <w:rFonts w:hint="eastAsia"/>
              </w:rPr>
            </w:pPr>
          </w:p>
        </w:tc>
      </w:tr>
      <w:tr w14:paraId="414A6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244AB02">
            <w:pPr>
              <w:pStyle w:val="48"/>
              <w:spacing w:line="600" w:lineRule="exact"/>
              <w:jc w:val="distribute"/>
              <w:rPr>
                <w:rFonts w:hint="eastAsia"/>
              </w:rPr>
            </w:pPr>
            <w:r>
              <w:rPr>
                <w:rFonts w:hint="eastAsia"/>
              </w:rPr>
              <w:t>报告日期</w:t>
            </w:r>
          </w:p>
        </w:tc>
        <w:tc>
          <w:tcPr>
            <w:tcW w:w="475" w:type="dxa"/>
            <w:vAlign w:val="center"/>
          </w:tcPr>
          <w:p w14:paraId="2F613CBA">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40636C9C">
            <w:pPr>
              <w:pStyle w:val="48"/>
              <w:spacing w:line="600" w:lineRule="exact"/>
              <w:jc w:val="center"/>
              <w:rPr>
                <w:rFonts w:hint="eastAsia"/>
              </w:rPr>
            </w:pPr>
            <w:bookmarkStart w:id="8" w:name="报告日期"/>
            <w:r>
              <w:t>2026年05月15日</w:t>
            </w:r>
            <w:bookmarkEnd w:id="8"/>
          </w:p>
        </w:tc>
      </w:tr>
    </w:tbl>
    <w:p w14:paraId="5EC2E781">
      <w:pPr>
        <w:spacing w:line="240" w:lineRule="exact"/>
      </w:pPr>
    </w:p>
    <w:p w14:paraId="76382B88">
      <w:pPr>
        <w:pStyle w:val="50"/>
        <w:rPr>
          <w:rFonts w:hint="eastAsia"/>
          <w:sz w:val="21"/>
        </w:rPr>
      </w:pPr>
    </w:p>
    <w:p w14:paraId="63EB0148">
      <w:pPr>
        <w:pStyle w:val="50"/>
        <w:rPr>
          <w:rFonts w:hint="eastAsia"/>
          <w:sz w:val="21"/>
        </w:rPr>
      </w:pPr>
    </w:p>
    <w:tbl>
      <w:tblPr>
        <w:tblStyle w:val="23"/>
        <w:tblW w:w="8343"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7D962460">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499D112E">
            <w:pPr>
              <w:pStyle w:val="50"/>
              <w:jc w:val="distribute"/>
              <w:rPr>
                <w:rFonts w:hint="eastAsia"/>
                <w:szCs w:val="18"/>
              </w:rPr>
            </w:pPr>
            <w:r>
              <w:rPr>
                <w:rFonts w:hint="eastAsia"/>
                <w:szCs w:val="18"/>
              </w:rPr>
              <w:t>采用软件</w:t>
            </w:r>
          </w:p>
        </w:tc>
        <w:tc>
          <w:tcPr>
            <w:tcW w:w="3143" w:type="dxa"/>
            <w:tcBorders>
              <w:top w:val="single" w:color="auto" w:sz="2" w:space="0"/>
              <w:left w:val="nil"/>
              <w:bottom w:val="nil"/>
              <w:right w:val="nil"/>
            </w:tcBorders>
            <w:vAlign w:val="bottom"/>
          </w:tcPr>
          <w:p w14:paraId="29A8EC60">
            <w:pPr>
              <w:pStyle w:val="50"/>
              <w:rPr>
                <w:rFonts w:hint="eastAsia"/>
                <w:szCs w:val="18"/>
              </w:rPr>
            </w:pPr>
            <w:r>
              <w:rPr>
                <w:rFonts w:hint="eastAsia"/>
                <w:szCs w:val="18"/>
              </w:rPr>
              <w:t xml:space="preserve">: </w:t>
            </w:r>
            <w:bookmarkStart w:id="9" w:name="采用软件"/>
            <w:r>
              <w:rPr>
                <w:rFonts w:hint="eastAsia"/>
                <w:szCs w:val="18"/>
              </w:rPr>
              <w:t>室内热舒适ITES2026</w:t>
            </w:r>
            <w:bookmarkEnd w:id="9"/>
          </w:p>
        </w:tc>
        <w:tc>
          <w:tcPr>
            <w:tcW w:w="3958" w:type="dxa"/>
            <w:vMerge w:val="restart"/>
            <w:tcBorders>
              <w:top w:val="single" w:color="auto" w:sz="2" w:space="0"/>
              <w:left w:val="nil"/>
              <w:bottom w:val="nil"/>
              <w:right w:val="nil"/>
            </w:tcBorders>
            <w:vAlign w:val="bottom"/>
          </w:tcPr>
          <w:p w14:paraId="5080F079">
            <w:pPr>
              <w:pStyle w:val="50"/>
              <w:spacing w:line="240" w:lineRule="auto"/>
              <w:ind w:firstLine="360"/>
              <w:jc w:val="right"/>
              <w:rPr>
                <w:rFonts w:hint="eastAsia"/>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7120449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3FE6F97">
            <w:pPr>
              <w:pStyle w:val="50"/>
              <w:jc w:val="distribute"/>
              <w:rPr>
                <w:rFonts w:hint="eastAsia"/>
                <w:szCs w:val="18"/>
              </w:rPr>
            </w:pPr>
            <w:r>
              <w:rPr>
                <w:rFonts w:hint="eastAsia"/>
                <w:szCs w:val="18"/>
              </w:rPr>
              <w:t>软件版本</w:t>
            </w:r>
          </w:p>
        </w:tc>
        <w:tc>
          <w:tcPr>
            <w:tcW w:w="3143" w:type="dxa"/>
            <w:tcBorders>
              <w:top w:val="nil"/>
              <w:left w:val="nil"/>
              <w:bottom w:val="nil"/>
              <w:right w:val="nil"/>
            </w:tcBorders>
            <w:vAlign w:val="bottom"/>
          </w:tcPr>
          <w:p w14:paraId="530B98F2">
            <w:pPr>
              <w:pStyle w:val="50"/>
              <w:rPr>
                <w:rFonts w:hint="eastAsia"/>
              </w:rPr>
            </w:pPr>
            <w:r>
              <w:rPr>
                <w:rFonts w:hint="eastAsia"/>
              </w:rPr>
              <w:t xml:space="preserve">: </w:t>
            </w:r>
            <w:bookmarkStart w:id="10" w:name="软件版本"/>
            <w:r>
              <w:rPr>
                <w:rFonts w:hint="eastAsia"/>
              </w:rPr>
              <w:t>20260303(SP1)</w:t>
            </w:r>
            <w:bookmarkEnd w:id="10"/>
          </w:p>
        </w:tc>
        <w:tc>
          <w:tcPr>
            <w:tcW w:w="3958" w:type="dxa"/>
            <w:vMerge w:val="continue"/>
            <w:tcBorders>
              <w:top w:val="single" w:color="auto" w:sz="2" w:space="0"/>
              <w:left w:val="nil"/>
              <w:bottom w:val="nil"/>
              <w:right w:val="nil"/>
            </w:tcBorders>
            <w:vAlign w:val="center"/>
          </w:tcPr>
          <w:p w14:paraId="7EF75261">
            <w:pPr>
              <w:ind w:firstLine="360"/>
              <w:rPr>
                <w:sz w:val="18"/>
                <w:szCs w:val="18"/>
              </w:rPr>
            </w:pPr>
          </w:p>
        </w:tc>
      </w:tr>
      <w:tr w14:paraId="0D19EBD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DF4C167">
            <w:pPr>
              <w:pStyle w:val="50"/>
              <w:jc w:val="distribute"/>
              <w:rPr>
                <w:rFonts w:hint="eastAsia"/>
                <w:szCs w:val="18"/>
              </w:rPr>
            </w:pPr>
            <w:r>
              <w:rPr>
                <w:rFonts w:hint="eastAsia"/>
                <w:szCs w:val="18"/>
              </w:rPr>
              <w:t>正版授权码</w:t>
            </w:r>
          </w:p>
        </w:tc>
        <w:tc>
          <w:tcPr>
            <w:tcW w:w="3143" w:type="dxa"/>
            <w:tcBorders>
              <w:top w:val="nil"/>
              <w:left w:val="nil"/>
              <w:bottom w:val="nil"/>
              <w:right w:val="nil"/>
            </w:tcBorders>
            <w:vAlign w:val="bottom"/>
          </w:tcPr>
          <w:p w14:paraId="31AC7731">
            <w:pPr>
              <w:pStyle w:val="50"/>
              <w:rPr>
                <w:rFonts w:hint="eastAsia"/>
                <w:szCs w:val="18"/>
              </w:rPr>
            </w:pPr>
            <w:r>
              <w:rPr>
                <w:rFonts w:hint="eastAsia"/>
                <w:szCs w:val="18"/>
              </w:rPr>
              <w:t xml:space="preserve">: </w:t>
            </w:r>
            <w:bookmarkStart w:id="11" w:name="加密锁号"/>
            <w:r>
              <w:rPr>
                <w:rFonts w:hint="eastAsia"/>
                <w:szCs w:val="18"/>
              </w:rPr>
              <w:t>P396E1CAA</w:t>
            </w:r>
            <w:bookmarkEnd w:id="11"/>
          </w:p>
        </w:tc>
        <w:tc>
          <w:tcPr>
            <w:tcW w:w="3958" w:type="dxa"/>
            <w:vMerge w:val="continue"/>
            <w:tcBorders>
              <w:top w:val="single" w:color="auto" w:sz="2" w:space="0"/>
              <w:left w:val="nil"/>
              <w:bottom w:val="nil"/>
              <w:right w:val="nil"/>
            </w:tcBorders>
            <w:vAlign w:val="center"/>
          </w:tcPr>
          <w:p w14:paraId="4065667F">
            <w:pPr>
              <w:ind w:firstLine="360"/>
              <w:rPr>
                <w:sz w:val="18"/>
                <w:szCs w:val="18"/>
              </w:rPr>
            </w:pPr>
          </w:p>
        </w:tc>
      </w:tr>
      <w:tr w14:paraId="41C08A8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367A029B">
            <w:pPr>
              <w:pStyle w:val="50"/>
              <w:jc w:val="distribute"/>
              <w:rPr>
                <w:rFonts w:hint="eastAsia"/>
                <w:szCs w:val="18"/>
              </w:rPr>
            </w:pPr>
            <w:r>
              <w:rPr>
                <w:rFonts w:hint="eastAsia"/>
                <w:szCs w:val="18"/>
              </w:rPr>
              <w:t>研发单位</w:t>
            </w:r>
          </w:p>
        </w:tc>
        <w:tc>
          <w:tcPr>
            <w:tcW w:w="3143" w:type="dxa"/>
            <w:tcBorders>
              <w:top w:val="nil"/>
              <w:left w:val="nil"/>
              <w:bottom w:val="nil"/>
              <w:right w:val="nil"/>
            </w:tcBorders>
            <w:vAlign w:val="bottom"/>
          </w:tcPr>
          <w:p w14:paraId="01C2CA2E">
            <w:pPr>
              <w:pStyle w:val="50"/>
              <w:rPr>
                <w:rFonts w:hint="eastAsia"/>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28D30055">
            <w:pPr>
              <w:ind w:firstLine="360"/>
              <w:rPr>
                <w:sz w:val="18"/>
                <w:szCs w:val="18"/>
              </w:rPr>
            </w:pPr>
          </w:p>
        </w:tc>
      </w:tr>
    </w:tbl>
    <w:p w14:paraId="128E6E9A">
      <w:pPr>
        <w:jc w:val="center"/>
        <w:rPr>
          <w:rFonts w:hint="eastAsia" w:ascii="微软雅黑" w:hAnsi="微软雅黑" w:eastAsia="微软雅黑"/>
          <w:b/>
          <w:sz w:val="32"/>
          <w:szCs w:val="32"/>
          <w:lang w:val="en-US"/>
        </w:rPr>
      </w:pPr>
      <w:r>
        <w:rPr>
          <w:lang w:val="en-US"/>
        </w:rPr>
        <w:br w:type="page"/>
      </w:r>
      <w:r>
        <w:rPr>
          <w:rFonts w:hint="eastAsia" w:ascii="微软雅黑" w:hAnsi="微软雅黑" w:eastAsia="微软雅黑"/>
          <w:b/>
          <w:sz w:val="32"/>
          <w:szCs w:val="32"/>
          <w:lang w:val="en-US"/>
        </w:rPr>
        <w:t>目 录</w:t>
      </w:r>
    </w:p>
    <w:p w14:paraId="6F068380">
      <w:pPr>
        <w:pStyle w:val="19"/>
        <w:tabs>
          <w:tab w:val="right" w:leader="dot" w:pos="8312"/>
          <w:tab w:val="clear" w:pos="180"/>
          <w:tab w:val="clear" w:pos="420"/>
          <w:tab w:val="clear" w:pos="8222"/>
        </w:tabs>
      </w:pPr>
      <w:bookmarkStart w:id="12" w:name="目录"/>
      <w:r>
        <w:rPr>
          <w:b w:val="0"/>
          <w:sz w:val="32"/>
          <w:szCs w:val="32"/>
        </w:rPr>
        <w:fldChar w:fldCharType="begin"/>
      </w:r>
      <w:r>
        <w:rPr>
          <w:b w:val="0"/>
          <w:sz w:val="32"/>
          <w:szCs w:val="32"/>
        </w:rPr>
        <w:instrText xml:space="preserve"> </w:instrText>
      </w:r>
      <w:r>
        <w:rPr>
          <w:rFonts w:hint="eastAsia"/>
          <w:b w:val="0"/>
          <w:sz w:val="32"/>
          <w:szCs w:val="32"/>
        </w:rPr>
        <w:instrText xml:space="preserve">TOC \o "1-2" \h \z \u</w:instrText>
      </w:r>
      <w:r>
        <w:rPr>
          <w:b w:val="0"/>
          <w:sz w:val="32"/>
          <w:szCs w:val="32"/>
        </w:rPr>
        <w:instrText xml:space="preserve"> </w:instrText>
      </w:r>
      <w:r>
        <w:rPr>
          <w:b w:val="0"/>
          <w:sz w:val="32"/>
          <w:szCs w:val="32"/>
        </w:rPr>
        <w:fldChar w:fldCharType="separate"/>
      </w:r>
      <w:r>
        <w:rPr>
          <w:szCs w:val="32"/>
        </w:rPr>
        <w:fldChar w:fldCharType="begin"/>
      </w:r>
      <w:r>
        <w:rPr>
          <w:szCs w:val="32"/>
        </w:rPr>
        <w:instrText xml:space="preserve"> HYPERLINK \l _Toc17962 </w:instrText>
      </w:r>
      <w:r>
        <w:rPr>
          <w:szCs w:val="32"/>
        </w:rPr>
        <w:fldChar w:fldCharType="separate"/>
      </w:r>
      <w:r>
        <w:rPr>
          <w:rFonts w:hint="eastAsia"/>
        </w:rPr>
        <w:t>1 项目概况</w:t>
      </w:r>
      <w:r>
        <w:tab/>
      </w:r>
      <w:r>
        <w:fldChar w:fldCharType="begin"/>
      </w:r>
      <w:r>
        <w:instrText xml:space="preserve"> PAGEREF _Toc17962 \h </w:instrText>
      </w:r>
      <w:r>
        <w:fldChar w:fldCharType="separate"/>
      </w:r>
      <w:r>
        <w:t>3</w:t>
      </w:r>
      <w:r>
        <w:fldChar w:fldCharType="end"/>
      </w:r>
      <w:r>
        <w:rPr>
          <w:szCs w:val="32"/>
        </w:rPr>
        <w:fldChar w:fldCharType="end"/>
      </w:r>
    </w:p>
    <w:p w14:paraId="2D9710B2">
      <w:pPr>
        <w:pStyle w:val="20"/>
        <w:tabs>
          <w:tab w:val="right" w:leader="dot" w:pos="8312"/>
          <w:tab w:val="clear" w:pos="540"/>
          <w:tab w:val="clear" w:pos="840"/>
          <w:tab w:val="clear" w:pos="8222"/>
        </w:tabs>
      </w:pPr>
      <w:r>
        <w:rPr>
          <w:szCs w:val="32"/>
        </w:rPr>
        <w:fldChar w:fldCharType="begin"/>
      </w:r>
      <w:r>
        <w:rPr>
          <w:szCs w:val="32"/>
        </w:rPr>
        <w:instrText xml:space="preserve"> HYPERLINK \l _Toc802 </w:instrText>
      </w:r>
      <w:r>
        <w:rPr>
          <w:szCs w:val="32"/>
        </w:rPr>
        <w:fldChar w:fldCharType="separate"/>
      </w:r>
      <w:r>
        <w:rPr>
          <w:rFonts w:hint="eastAsia"/>
          <w:lang w:val="en-GB"/>
        </w:rPr>
        <w:t xml:space="preserve">1.1 </w:t>
      </w:r>
      <w:r>
        <w:rPr>
          <w:rFonts w:hint="eastAsia"/>
        </w:rPr>
        <w:t>三</w:t>
      </w:r>
      <w:r>
        <w:t>维视图</w:t>
      </w:r>
      <w:r>
        <w:tab/>
      </w:r>
      <w:r>
        <w:fldChar w:fldCharType="begin"/>
      </w:r>
      <w:r>
        <w:instrText xml:space="preserve"> PAGEREF _Toc802 \h </w:instrText>
      </w:r>
      <w:r>
        <w:fldChar w:fldCharType="separate"/>
      </w:r>
      <w:r>
        <w:t>3</w:t>
      </w:r>
      <w:r>
        <w:fldChar w:fldCharType="end"/>
      </w:r>
      <w:r>
        <w:rPr>
          <w:szCs w:val="32"/>
        </w:rPr>
        <w:fldChar w:fldCharType="end"/>
      </w:r>
    </w:p>
    <w:p w14:paraId="1FD13515">
      <w:pPr>
        <w:pStyle w:val="19"/>
        <w:tabs>
          <w:tab w:val="right" w:leader="dot" w:pos="8312"/>
          <w:tab w:val="clear" w:pos="180"/>
          <w:tab w:val="clear" w:pos="420"/>
          <w:tab w:val="clear" w:pos="8222"/>
        </w:tabs>
      </w:pPr>
      <w:r>
        <w:rPr>
          <w:szCs w:val="32"/>
        </w:rPr>
        <w:fldChar w:fldCharType="begin"/>
      </w:r>
      <w:r>
        <w:rPr>
          <w:szCs w:val="32"/>
        </w:rPr>
        <w:instrText xml:space="preserve"> HYPERLINK \l _Toc29955 </w:instrText>
      </w:r>
      <w:r>
        <w:rPr>
          <w:szCs w:val="32"/>
        </w:rPr>
        <w:fldChar w:fldCharType="separate"/>
      </w:r>
      <w:r>
        <w:rPr>
          <w:rFonts w:hint="eastAsia"/>
        </w:rPr>
        <w:t>2 计算</w:t>
      </w:r>
      <w:r>
        <w:t>依据</w:t>
      </w:r>
      <w:r>
        <w:tab/>
      </w:r>
      <w:r>
        <w:fldChar w:fldCharType="begin"/>
      </w:r>
      <w:r>
        <w:instrText xml:space="preserve"> PAGEREF _Toc29955 \h </w:instrText>
      </w:r>
      <w:r>
        <w:fldChar w:fldCharType="separate"/>
      </w:r>
      <w:r>
        <w:t>3</w:t>
      </w:r>
      <w:r>
        <w:fldChar w:fldCharType="end"/>
      </w:r>
      <w:r>
        <w:rPr>
          <w:szCs w:val="32"/>
        </w:rPr>
        <w:fldChar w:fldCharType="end"/>
      </w:r>
    </w:p>
    <w:p w14:paraId="2818F578">
      <w:pPr>
        <w:pStyle w:val="19"/>
        <w:tabs>
          <w:tab w:val="right" w:leader="dot" w:pos="8312"/>
          <w:tab w:val="clear" w:pos="180"/>
          <w:tab w:val="clear" w:pos="420"/>
          <w:tab w:val="clear" w:pos="8222"/>
        </w:tabs>
      </w:pPr>
      <w:r>
        <w:rPr>
          <w:szCs w:val="32"/>
        </w:rPr>
        <w:fldChar w:fldCharType="begin"/>
      </w:r>
      <w:r>
        <w:rPr>
          <w:szCs w:val="32"/>
        </w:rPr>
        <w:instrText xml:space="preserve"> HYPERLINK \l _Toc3637 </w:instrText>
      </w:r>
      <w:r>
        <w:rPr>
          <w:szCs w:val="32"/>
        </w:rPr>
        <w:fldChar w:fldCharType="separate"/>
      </w:r>
      <w:r>
        <w:rPr>
          <w:rFonts w:hint="eastAsia"/>
        </w:rPr>
        <w:t>3 参考</w:t>
      </w:r>
      <w:r>
        <w:t>标准</w:t>
      </w:r>
      <w:r>
        <w:tab/>
      </w:r>
      <w:r>
        <w:fldChar w:fldCharType="begin"/>
      </w:r>
      <w:r>
        <w:instrText xml:space="preserve"> PAGEREF _Toc3637 \h </w:instrText>
      </w:r>
      <w:r>
        <w:fldChar w:fldCharType="separate"/>
      </w:r>
      <w:r>
        <w:t>3</w:t>
      </w:r>
      <w:r>
        <w:fldChar w:fldCharType="end"/>
      </w:r>
      <w:r>
        <w:rPr>
          <w:szCs w:val="32"/>
        </w:rPr>
        <w:fldChar w:fldCharType="end"/>
      </w:r>
    </w:p>
    <w:p w14:paraId="3C9B2DFB">
      <w:pPr>
        <w:pStyle w:val="19"/>
        <w:tabs>
          <w:tab w:val="right" w:leader="dot" w:pos="8312"/>
          <w:tab w:val="clear" w:pos="180"/>
          <w:tab w:val="clear" w:pos="420"/>
          <w:tab w:val="clear" w:pos="8222"/>
        </w:tabs>
      </w:pPr>
      <w:r>
        <w:rPr>
          <w:szCs w:val="32"/>
        </w:rPr>
        <w:fldChar w:fldCharType="begin"/>
      </w:r>
      <w:r>
        <w:rPr>
          <w:szCs w:val="32"/>
        </w:rPr>
        <w:instrText xml:space="preserve"> HYPERLINK \l _Toc31373 </w:instrText>
      </w:r>
      <w:r>
        <w:rPr>
          <w:szCs w:val="32"/>
        </w:rPr>
        <w:fldChar w:fldCharType="separate"/>
      </w:r>
      <w:r>
        <w:rPr>
          <w:rFonts w:hint="eastAsia"/>
        </w:rPr>
        <w:t>4 计算方法</w:t>
      </w:r>
      <w:r>
        <w:tab/>
      </w:r>
      <w:r>
        <w:fldChar w:fldCharType="begin"/>
      </w:r>
      <w:r>
        <w:instrText xml:space="preserve"> PAGEREF _Toc31373 \h </w:instrText>
      </w:r>
      <w:r>
        <w:fldChar w:fldCharType="separate"/>
      </w:r>
      <w:r>
        <w:t>3</w:t>
      </w:r>
      <w:r>
        <w:fldChar w:fldCharType="end"/>
      </w:r>
      <w:r>
        <w:rPr>
          <w:szCs w:val="32"/>
        </w:rPr>
        <w:fldChar w:fldCharType="end"/>
      </w:r>
    </w:p>
    <w:p w14:paraId="3E950F9E">
      <w:pPr>
        <w:pStyle w:val="20"/>
        <w:tabs>
          <w:tab w:val="right" w:leader="dot" w:pos="8312"/>
          <w:tab w:val="clear" w:pos="540"/>
          <w:tab w:val="clear" w:pos="840"/>
          <w:tab w:val="clear" w:pos="8222"/>
        </w:tabs>
      </w:pPr>
      <w:r>
        <w:rPr>
          <w:szCs w:val="32"/>
        </w:rPr>
        <w:fldChar w:fldCharType="begin"/>
      </w:r>
      <w:r>
        <w:rPr>
          <w:szCs w:val="32"/>
        </w:rPr>
        <w:instrText xml:space="preserve"> HYPERLINK \l _Toc16492 </w:instrText>
      </w:r>
      <w:r>
        <w:rPr>
          <w:szCs w:val="32"/>
        </w:rPr>
        <w:fldChar w:fldCharType="separate"/>
      </w:r>
      <w:r>
        <w:rPr>
          <w:rFonts w:hint="eastAsia"/>
          <w:lang w:val="en-GB"/>
        </w:rPr>
        <w:t xml:space="preserve">4.1 </w:t>
      </w:r>
      <w:r>
        <w:rPr>
          <w:rFonts w:hint="eastAsia"/>
        </w:rPr>
        <w:t>热湿环境评价</w:t>
      </w:r>
      <w:r>
        <w:t>指标</w:t>
      </w:r>
      <w:r>
        <w:rPr>
          <w:rFonts w:hint="eastAsia"/>
        </w:rPr>
        <w:t>计算</w:t>
      </w:r>
      <w:r>
        <w:tab/>
      </w:r>
      <w:r>
        <w:fldChar w:fldCharType="begin"/>
      </w:r>
      <w:r>
        <w:instrText xml:space="preserve"> PAGEREF _Toc16492 \h </w:instrText>
      </w:r>
      <w:r>
        <w:fldChar w:fldCharType="separate"/>
      </w:r>
      <w:r>
        <w:t>4</w:t>
      </w:r>
      <w:r>
        <w:fldChar w:fldCharType="end"/>
      </w:r>
      <w:r>
        <w:rPr>
          <w:szCs w:val="32"/>
        </w:rPr>
        <w:fldChar w:fldCharType="end"/>
      </w:r>
    </w:p>
    <w:p w14:paraId="47908781">
      <w:pPr>
        <w:pStyle w:val="19"/>
        <w:tabs>
          <w:tab w:val="right" w:leader="dot" w:pos="8312"/>
          <w:tab w:val="clear" w:pos="180"/>
          <w:tab w:val="clear" w:pos="420"/>
          <w:tab w:val="clear" w:pos="8222"/>
        </w:tabs>
      </w:pPr>
      <w:r>
        <w:rPr>
          <w:szCs w:val="32"/>
        </w:rPr>
        <w:fldChar w:fldCharType="begin"/>
      </w:r>
      <w:r>
        <w:rPr>
          <w:szCs w:val="32"/>
        </w:rPr>
        <w:instrText xml:space="preserve"> HYPERLINK \l _Toc30212 </w:instrText>
      </w:r>
      <w:r>
        <w:rPr>
          <w:szCs w:val="32"/>
        </w:rPr>
        <w:fldChar w:fldCharType="separate"/>
      </w:r>
      <w:r>
        <w:rPr>
          <w:rFonts w:hint="eastAsia"/>
        </w:rPr>
        <w:t>5 计算参数</w:t>
      </w:r>
      <w:r>
        <w:tab/>
      </w:r>
      <w:r>
        <w:fldChar w:fldCharType="begin"/>
      </w:r>
      <w:r>
        <w:instrText xml:space="preserve"> PAGEREF _Toc30212 \h </w:instrText>
      </w:r>
      <w:r>
        <w:fldChar w:fldCharType="separate"/>
      </w:r>
      <w:r>
        <w:t>5</w:t>
      </w:r>
      <w:r>
        <w:fldChar w:fldCharType="end"/>
      </w:r>
      <w:r>
        <w:rPr>
          <w:szCs w:val="32"/>
        </w:rPr>
        <w:fldChar w:fldCharType="end"/>
      </w:r>
    </w:p>
    <w:p w14:paraId="2D211EA1">
      <w:pPr>
        <w:pStyle w:val="19"/>
        <w:tabs>
          <w:tab w:val="right" w:leader="dot" w:pos="8312"/>
          <w:tab w:val="clear" w:pos="180"/>
          <w:tab w:val="clear" w:pos="420"/>
          <w:tab w:val="clear" w:pos="8222"/>
        </w:tabs>
      </w:pPr>
      <w:r>
        <w:rPr>
          <w:szCs w:val="32"/>
        </w:rPr>
        <w:fldChar w:fldCharType="begin"/>
      </w:r>
      <w:r>
        <w:rPr>
          <w:szCs w:val="32"/>
        </w:rPr>
        <w:instrText xml:space="preserve"> HYPERLINK \l _Toc1999 </w:instrText>
      </w:r>
      <w:r>
        <w:rPr>
          <w:szCs w:val="32"/>
        </w:rPr>
        <w:fldChar w:fldCharType="separate"/>
      </w:r>
      <w:r>
        <w:rPr>
          <w:rFonts w:hint="eastAsia"/>
        </w:rPr>
        <w:t>6 计算结果</w:t>
      </w:r>
      <w:r>
        <w:tab/>
      </w:r>
      <w:r>
        <w:fldChar w:fldCharType="begin"/>
      </w:r>
      <w:r>
        <w:instrText xml:space="preserve"> PAGEREF _Toc1999 \h </w:instrText>
      </w:r>
      <w:r>
        <w:fldChar w:fldCharType="separate"/>
      </w:r>
      <w:r>
        <w:t>6</w:t>
      </w:r>
      <w:r>
        <w:fldChar w:fldCharType="end"/>
      </w:r>
      <w:r>
        <w:rPr>
          <w:szCs w:val="32"/>
        </w:rPr>
        <w:fldChar w:fldCharType="end"/>
      </w:r>
    </w:p>
    <w:p w14:paraId="3E873F64">
      <w:pPr>
        <w:pStyle w:val="20"/>
        <w:tabs>
          <w:tab w:val="right" w:leader="dot" w:pos="8312"/>
          <w:tab w:val="clear" w:pos="540"/>
          <w:tab w:val="clear" w:pos="840"/>
          <w:tab w:val="clear" w:pos="8222"/>
        </w:tabs>
      </w:pPr>
      <w:r>
        <w:rPr>
          <w:szCs w:val="32"/>
        </w:rPr>
        <w:fldChar w:fldCharType="begin"/>
      </w:r>
      <w:r>
        <w:rPr>
          <w:szCs w:val="32"/>
        </w:rPr>
        <w:instrText xml:space="preserve"> HYPERLINK \l _Toc8740 </w:instrText>
      </w:r>
      <w:r>
        <w:rPr>
          <w:szCs w:val="32"/>
        </w:rPr>
        <w:fldChar w:fldCharType="separate"/>
      </w:r>
      <w:r>
        <w:rPr>
          <w:rFonts w:hint="eastAsia"/>
          <w:lang w:val="en-GB"/>
        </w:rPr>
        <w:t xml:space="preserve">6.1 </w:t>
      </w:r>
      <w:r>
        <w:rPr>
          <w:rFonts w:hint="eastAsia"/>
        </w:rPr>
        <w:t>PMV-PPD指标</w:t>
      </w:r>
      <w:r>
        <w:tab/>
      </w:r>
      <w:r>
        <w:fldChar w:fldCharType="begin"/>
      </w:r>
      <w:r>
        <w:instrText xml:space="preserve"> PAGEREF _Toc8740 \h </w:instrText>
      </w:r>
      <w:r>
        <w:fldChar w:fldCharType="separate"/>
      </w:r>
      <w:r>
        <w:t>6</w:t>
      </w:r>
      <w:r>
        <w:fldChar w:fldCharType="end"/>
      </w:r>
      <w:r>
        <w:rPr>
          <w:szCs w:val="32"/>
        </w:rPr>
        <w:fldChar w:fldCharType="end"/>
      </w:r>
    </w:p>
    <w:p w14:paraId="6A8D5216">
      <w:pPr>
        <w:pStyle w:val="20"/>
        <w:tabs>
          <w:tab w:val="right" w:leader="dot" w:pos="8312"/>
          <w:tab w:val="clear" w:pos="540"/>
          <w:tab w:val="clear" w:pos="840"/>
          <w:tab w:val="clear" w:pos="8222"/>
        </w:tabs>
      </w:pPr>
      <w:r>
        <w:rPr>
          <w:szCs w:val="32"/>
        </w:rPr>
        <w:fldChar w:fldCharType="begin"/>
      </w:r>
      <w:r>
        <w:rPr>
          <w:szCs w:val="32"/>
        </w:rPr>
        <w:instrText xml:space="preserve"> HYPERLINK \l _Toc28082 </w:instrText>
      </w:r>
      <w:r>
        <w:rPr>
          <w:szCs w:val="32"/>
        </w:rPr>
        <w:fldChar w:fldCharType="separate"/>
      </w:r>
      <w:r>
        <w:rPr>
          <w:rFonts w:hint="eastAsia"/>
          <w:lang w:val="en-GB"/>
        </w:rPr>
        <w:t xml:space="preserve">6.2 </w:t>
      </w:r>
      <w:r>
        <w:rPr>
          <w:rFonts w:hint="eastAsia"/>
        </w:rPr>
        <w:t>达标情况</w:t>
      </w:r>
      <w:r>
        <w:tab/>
      </w:r>
      <w:r>
        <w:fldChar w:fldCharType="begin"/>
      </w:r>
      <w:r>
        <w:instrText xml:space="preserve"> PAGEREF _Toc28082 \h </w:instrText>
      </w:r>
      <w:r>
        <w:fldChar w:fldCharType="separate"/>
      </w:r>
      <w:r>
        <w:t>6</w:t>
      </w:r>
      <w:r>
        <w:fldChar w:fldCharType="end"/>
      </w:r>
      <w:r>
        <w:rPr>
          <w:szCs w:val="32"/>
        </w:rPr>
        <w:fldChar w:fldCharType="end"/>
      </w:r>
    </w:p>
    <w:p w14:paraId="6387DE3C">
      <w:pPr>
        <w:pStyle w:val="19"/>
        <w:tabs>
          <w:tab w:val="right" w:leader="dot" w:pos="8312"/>
          <w:tab w:val="clear" w:pos="180"/>
          <w:tab w:val="clear" w:pos="420"/>
          <w:tab w:val="clear" w:pos="8222"/>
        </w:tabs>
      </w:pPr>
      <w:r>
        <w:rPr>
          <w:szCs w:val="32"/>
        </w:rPr>
        <w:fldChar w:fldCharType="begin"/>
      </w:r>
      <w:r>
        <w:rPr>
          <w:szCs w:val="32"/>
        </w:rPr>
        <w:instrText xml:space="preserve"> HYPERLINK \l _Toc24150 </w:instrText>
      </w:r>
      <w:r>
        <w:rPr>
          <w:szCs w:val="32"/>
        </w:rPr>
        <w:fldChar w:fldCharType="separate"/>
      </w:r>
      <w:r>
        <w:rPr>
          <w:rFonts w:hint="eastAsia"/>
        </w:rPr>
        <w:t>7 结论</w:t>
      </w:r>
      <w:r>
        <w:tab/>
      </w:r>
      <w:r>
        <w:fldChar w:fldCharType="begin"/>
      </w:r>
      <w:r>
        <w:instrText xml:space="preserve"> PAGEREF _Toc24150 \h </w:instrText>
      </w:r>
      <w:r>
        <w:fldChar w:fldCharType="separate"/>
      </w:r>
      <w:r>
        <w:t>6</w:t>
      </w:r>
      <w:r>
        <w:fldChar w:fldCharType="end"/>
      </w:r>
      <w:r>
        <w:rPr>
          <w:szCs w:val="32"/>
        </w:rPr>
        <w:fldChar w:fldCharType="end"/>
      </w:r>
    </w:p>
    <w:p w14:paraId="7DEEB64C">
      <w:pPr>
        <w:pStyle w:val="19"/>
        <w:rPr>
          <w:rFonts w:hint="eastAsia"/>
        </w:rPr>
        <w:sectPr>
          <w:footerReference r:id="rId7" w:type="first"/>
          <w:headerReference r:id="rId5" w:type="default"/>
          <w:footerReference r:id="rId6" w:type="default"/>
          <w:pgSz w:w="11906" w:h="16838"/>
          <w:pgMar w:top="1440" w:right="1797" w:bottom="426" w:left="1797" w:header="851" w:footer="516" w:gutter="0"/>
          <w:cols w:space="425" w:num="1"/>
          <w:titlePg/>
          <w:docGrid w:type="lines" w:linePitch="312" w:charSpace="0"/>
        </w:sectPr>
      </w:pPr>
      <w:r>
        <w:rPr>
          <w:szCs w:val="32"/>
        </w:rPr>
        <w:fldChar w:fldCharType="end"/>
      </w:r>
      <w:bookmarkEnd w:id="12"/>
    </w:p>
    <w:p w14:paraId="49D475F9">
      <w:pPr>
        <w:pStyle w:val="2"/>
        <w:spacing w:before="312"/>
        <w:rPr>
          <w:rFonts w:hint="eastAsia"/>
        </w:rPr>
      </w:pPr>
      <w:bookmarkStart w:id="13" w:name="_Toc44772815"/>
      <w:bookmarkStart w:id="14" w:name="_Toc44662463"/>
      <w:bookmarkStart w:id="15" w:name="_Toc452108759"/>
      <w:bookmarkStart w:id="16" w:name="_Toc17962"/>
      <w:r>
        <w:rPr>
          <w:rFonts w:hint="eastAsia"/>
        </w:rPr>
        <w:t>项目概况</w:t>
      </w:r>
      <w:bookmarkEnd w:id="13"/>
      <w:bookmarkEnd w:id="14"/>
      <w:bookmarkEnd w:id="15"/>
      <w:bookmarkEnd w:id="16"/>
    </w:p>
    <w:tbl>
      <w:tblPr>
        <w:tblStyle w:val="22"/>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593"/>
        <w:gridCol w:w="2860"/>
        <w:gridCol w:w="2873"/>
      </w:tblGrid>
      <w:tr w14:paraId="4B8DD6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FA7276B">
            <w:pPr>
              <w:pStyle w:val="3"/>
              <w:ind w:firstLine="0" w:firstLineChars="0"/>
              <w:rPr>
                <w:rFonts w:hint="eastAsia" w:ascii="宋体" w:hAnsi="宋体"/>
                <w:lang w:val="en-US"/>
              </w:rPr>
            </w:pPr>
            <w:bookmarkStart w:id="17" w:name="项目概况"/>
            <w:bookmarkEnd w:id="17"/>
            <w:r>
              <w:rPr>
                <w:rFonts w:hint="eastAsia" w:ascii="宋体" w:hAnsi="宋体"/>
                <w:lang w:val="en-US"/>
              </w:rPr>
              <w:t>工程名称</w:t>
            </w:r>
          </w:p>
        </w:tc>
        <w:tc>
          <w:tcPr>
            <w:tcW w:w="6231" w:type="dxa"/>
            <w:gridSpan w:val="2"/>
          </w:tcPr>
          <w:p w14:paraId="5AA01D38">
            <w:pPr>
              <w:pStyle w:val="3"/>
              <w:ind w:firstLine="0" w:firstLineChars="0"/>
              <w:rPr>
                <w:rFonts w:hint="eastAsia" w:ascii="宋体" w:hAnsi="宋体"/>
                <w:lang w:val="en-US"/>
              </w:rPr>
            </w:pPr>
            <w:bookmarkStart w:id="18" w:name="工程名称"/>
            <w:r>
              <w:t>庙子镇中学</w:t>
            </w:r>
            <w:bookmarkEnd w:id="18"/>
          </w:p>
        </w:tc>
      </w:tr>
      <w:tr w14:paraId="0051DF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1B584E24">
            <w:pPr>
              <w:pStyle w:val="3"/>
              <w:ind w:firstLine="0" w:firstLineChars="0"/>
              <w:rPr>
                <w:rFonts w:hint="eastAsia" w:ascii="宋体" w:hAnsi="宋体"/>
                <w:lang w:val="en-US"/>
              </w:rPr>
            </w:pPr>
            <w:r>
              <w:rPr>
                <w:rFonts w:hint="eastAsia" w:ascii="宋体" w:hAnsi="宋体"/>
                <w:lang w:val="en-US"/>
              </w:rPr>
              <w:t>工程地点</w:t>
            </w:r>
          </w:p>
        </w:tc>
        <w:tc>
          <w:tcPr>
            <w:tcW w:w="6231" w:type="dxa"/>
            <w:gridSpan w:val="2"/>
          </w:tcPr>
          <w:p w14:paraId="25BA8A21">
            <w:pPr>
              <w:pStyle w:val="3"/>
              <w:ind w:firstLine="0" w:firstLineChars="0"/>
              <w:rPr>
                <w:rFonts w:hint="eastAsia" w:ascii="宋体" w:hAnsi="宋体"/>
                <w:lang w:val="en-US"/>
              </w:rPr>
            </w:pPr>
            <w:r>
              <w:t>河南-洛阳</w:t>
            </w:r>
          </w:p>
        </w:tc>
      </w:tr>
      <w:tr w14:paraId="7BD0AB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FFE6821">
            <w:pPr>
              <w:pStyle w:val="3"/>
              <w:ind w:firstLine="0" w:firstLineChars="0"/>
              <w:rPr>
                <w:rFonts w:hint="eastAsia" w:ascii="宋体" w:hAnsi="宋体"/>
                <w:lang w:val="en-US"/>
              </w:rPr>
            </w:pPr>
            <w:r>
              <w:rPr>
                <w:rFonts w:hint="eastAsia" w:ascii="宋体" w:hAnsi="宋体"/>
                <w:lang w:val="en-US"/>
              </w:rPr>
              <w:t>地理位置</w:t>
            </w:r>
          </w:p>
        </w:tc>
        <w:tc>
          <w:tcPr>
            <w:tcW w:w="3115" w:type="dxa"/>
          </w:tcPr>
          <w:p w14:paraId="3DED9EFE">
            <w:pPr>
              <w:pStyle w:val="3"/>
              <w:ind w:firstLine="0" w:firstLineChars="0"/>
              <w:rPr>
                <w:rFonts w:hint="eastAsia" w:ascii="宋体" w:hAnsi="宋体"/>
                <w:lang w:val="en-US"/>
              </w:rPr>
            </w:pPr>
            <w:r>
              <w:rPr>
                <w:rFonts w:hint="eastAsia" w:ascii="宋体" w:hAnsi="宋体"/>
                <w:lang w:val="en-US"/>
              </w:rPr>
              <w:t>北纬：</w:t>
            </w:r>
            <w:bookmarkStart w:id="19" w:name="纬度"/>
            <w:r>
              <w:rPr>
                <w:rFonts w:hint="eastAsia" w:ascii="宋体" w:hAnsi="宋体"/>
                <w:lang w:val="en-US"/>
              </w:rPr>
              <w:t>35.00</w:t>
            </w:r>
            <w:bookmarkEnd w:id="19"/>
            <w:r>
              <w:rPr>
                <w:rFonts w:hint="eastAsia" w:ascii="宋体" w:hAnsi="宋体"/>
                <w:lang w:val="en-US"/>
              </w:rPr>
              <w:t>°</w:t>
            </w:r>
          </w:p>
        </w:tc>
        <w:tc>
          <w:tcPr>
            <w:tcW w:w="3116" w:type="dxa"/>
          </w:tcPr>
          <w:p w14:paraId="5FF958CD">
            <w:pPr>
              <w:pStyle w:val="3"/>
              <w:ind w:firstLine="0" w:firstLineChars="0"/>
              <w:rPr>
                <w:rFonts w:hint="eastAsia" w:ascii="宋体" w:hAnsi="宋体"/>
                <w:lang w:val="en-US"/>
              </w:rPr>
            </w:pPr>
            <w:r>
              <w:rPr>
                <w:rFonts w:hint="eastAsia" w:ascii="宋体" w:hAnsi="宋体"/>
                <w:lang w:val="en-US"/>
              </w:rPr>
              <w:t>东经：</w:t>
            </w:r>
            <w:bookmarkStart w:id="20" w:name="经度"/>
            <w:r>
              <w:rPr>
                <w:rFonts w:hint="eastAsia" w:ascii="宋体" w:hAnsi="宋体"/>
                <w:lang w:val="en-US"/>
              </w:rPr>
              <w:t>112.41</w:t>
            </w:r>
            <w:bookmarkEnd w:id="20"/>
            <w:r>
              <w:rPr>
                <w:rFonts w:hint="eastAsia" w:ascii="宋体" w:hAnsi="宋体"/>
                <w:lang w:val="en-US"/>
              </w:rPr>
              <w:t>°</w:t>
            </w:r>
          </w:p>
        </w:tc>
      </w:tr>
      <w:tr w14:paraId="151ED8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F44D7F7">
            <w:pPr>
              <w:pStyle w:val="3"/>
              <w:ind w:firstLine="0" w:firstLineChars="0"/>
              <w:rPr>
                <w:rFonts w:hint="eastAsia" w:ascii="宋体" w:hAnsi="宋体"/>
                <w:lang w:val="en-US"/>
              </w:rPr>
            </w:pPr>
            <w:r>
              <w:rPr>
                <w:rFonts w:hint="eastAsia" w:ascii="宋体" w:hAnsi="宋体"/>
                <w:lang w:val="en-US"/>
              </w:rPr>
              <w:t>计算建筑面积(</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5F1DCBC3">
            <w:pPr>
              <w:pStyle w:val="3"/>
              <w:ind w:firstLine="0" w:firstLineChars="0"/>
              <w:rPr>
                <w:rFonts w:hint="eastAsia" w:ascii="宋体" w:hAnsi="宋体"/>
                <w:lang w:val="en-US"/>
              </w:rPr>
            </w:pPr>
            <w:r>
              <w:rPr>
                <w:rFonts w:hint="eastAsia" w:ascii="宋体" w:hAnsi="宋体"/>
                <w:lang w:val="en-US"/>
              </w:rPr>
              <w:t>地上</w:t>
            </w:r>
            <w:bookmarkStart w:id="21" w:name="地上建筑面积"/>
            <w:r>
              <w:rPr>
                <w:rFonts w:hint="eastAsia" w:ascii="宋体" w:hAnsi="宋体"/>
                <w:lang w:val="en-US"/>
              </w:rPr>
              <w:t>9250</w:t>
            </w:r>
            <w:bookmarkEnd w:id="21"/>
            <w:r>
              <w:rPr>
                <w:rFonts w:hint="eastAsia" w:ascii="宋体" w:hAnsi="宋体"/>
                <w:lang w:val="en-US"/>
              </w:rPr>
              <w:t xml:space="preserve">    地下</w:t>
            </w:r>
            <w:bookmarkStart w:id="22" w:name="地下建筑面积"/>
            <w:r>
              <w:rPr>
                <w:rFonts w:hint="eastAsia" w:ascii="宋体" w:hAnsi="宋体"/>
                <w:lang w:val="en-US"/>
              </w:rPr>
              <w:t>0</w:t>
            </w:r>
            <w:bookmarkEnd w:id="22"/>
          </w:p>
        </w:tc>
      </w:tr>
      <w:tr w14:paraId="6657E5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B5326E4">
            <w:pPr>
              <w:pStyle w:val="3"/>
              <w:ind w:firstLine="0" w:firstLineChars="0"/>
              <w:rPr>
                <w:rFonts w:hint="eastAsia" w:ascii="宋体" w:hAnsi="宋体"/>
                <w:lang w:val="en-US"/>
              </w:rPr>
            </w:pPr>
            <w:r>
              <w:rPr>
                <w:rFonts w:hint="eastAsia" w:ascii="宋体" w:hAnsi="宋体"/>
                <w:lang w:val="en-US"/>
              </w:rPr>
              <w:t>建筑层数</w:t>
            </w:r>
          </w:p>
        </w:tc>
        <w:tc>
          <w:tcPr>
            <w:tcW w:w="6231" w:type="dxa"/>
            <w:gridSpan w:val="2"/>
          </w:tcPr>
          <w:p w14:paraId="2007CD33">
            <w:pPr>
              <w:pStyle w:val="3"/>
              <w:ind w:firstLine="0" w:firstLineChars="0"/>
              <w:rPr>
                <w:rFonts w:hint="eastAsia" w:ascii="宋体" w:hAnsi="宋体"/>
                <w:lang w:val="en-US"/>
              </w:rPr>
            </w:pPr>
            <w:r>
              <w:rPr>
                <w:rFonts w:hint="eastAsia" w:ascii="宋体" w:hAnsi="宋体"/>
                <w:lang w:val="en-US"/>
              </w:rPr>
              <w:t>地上</w:t>
            </w:r>
            <w:bookmarkStart w:id="23" w:name="地上建筑层数"/>
            <w:r>
              <w:rPr>
                <w:rFonts w:hint="eastAsia" w:ascii="宋体" w:hAnsi="宋体"/>
                <w:lang w:val="en-US"/>
              </w:rPr>
              <w:t>5</w:t>
            </w:r>
            <w:bookmarkEnd w:id="23"/>
            <w:r>
              <w:rPr>
                <w:rFonts w:hint="eastAsia" w:ascii="宋体" w:hAnsi="宋体"/>
                <w:lang w:val="en-US"/>
              </w:rPr>
              <w:t xml:space="preserve">          地下</w:t>
            </w:r>
            <w:bookmarkStart w:id="24" w:name="地下建筑层数"/>
            <w:r>
              <w:t>0</w:t>
            </w:r>
            <w:bookmarkEnd w:id="24"/>
          </w:p>
        </w:tc>
      </w:tr>
      <w:tr w14:paraId="3B7CAF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502021E">
            <w:pPr>
              <w:pStyle w:val="3"/>
              <w:ind w:firstLine="0" w:firstLineChars="0"/>
              <w:rPr>
                <w:rFonts w:hint="eastAsia" w:ascii="宋体" w:hAnsi="宋体"/>
                <w:lang w:val="en-US"/>
              </w:rPr>
            </w:pPr>
            <w:r>
              <w:rPr>
                <w:rFonts w:hint="eastAsia" w:ascii="宋体" w:hAnsi="宋体"/>
                <w:lang w:val="en-US"/>
              </w:rPr>
              <w:t>建筑高度（m）</w:t>
            </w:r>
          </w:p>
        </w:tc>
        <w:tc>
          <w:tcPr>
            <w:tcW w:w="6231" w:type="dxa"/>
            <w:gridSpan w:val="2"/>
          </w:tcPr>
          <w:p w14:paraId="49181223">
            <w:pPr>
              <w:pStyle w:val="3"/>
              <w:ind w:firstLine="0" w:firstLineChars="0"/>
              <w:rPr>
                <w:rFonts w:hint="eastAsia" w:ascii="宋体" w:hAnsi="宋体"/>
                <w:lang w:val="en-US"/>
              </w:rPr>
            </w:pPr>
            <w:r>
              <w:rPr>
                <w:rFonts w:hint="eastAsia" w:ascii="宋体" w:hAnsi="宋体"/>
                <w:lang w:val="en-US"/>
              </w:rPr>
              <w:t>地上</w:t>
            </w:r>
            <w:bookmarkStart w:id="25" w:name="地上建筑高度"/>
            <w:r>
              <w:rPr>
                <w:rFonts w:hint="eastAsia" w:ascii="宋体" w:hAnsi="宋体"/>
                <w:lang w:val="en-US"/>
              </w:rPr>
              <w:t>19.5</w:t>
            </w:r>
            <w:bookmarkEnd w:id="25"/>
            <w:r>
              <w:rPr>
                <w:rFonts w:hint="eastAsia" w:ascii="宋体" w:hAnsi="宋体"/>
                <w:lang w:val="en-US"/>
              </w:rPr>
              <w:t xml:space="preserve">     地下</w:t>
            </w:r>
            <w:bookmarkStart w:id="26" w:name="地下建筑高度"/>
            <w:r>
              <w:rPr>
                <w:rFonts w:hint="eastAsia" w:ascii="宋体" w:hAnsi="宋体"/>
                <w:lang w:val="en-US"/>
              </w:rPr>
              <w:t>0.0</w:t>
            </w:r>
            <w:bookmarkEnd w:id="26"/>
          </w:p>
        </w:tc>
      </w:tr>
      <w:tr w14:paraId="359EEB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39607D25">
            <w:pPr>
              <w:pStyle w:val="3"/>
              <w:ind w:firstLine="0" w:firstLineChars="0"/>
              <w:rPr>
                <w:rFonts w:hint="eastAsia" w:ascii="宋体" w:hAnsi="宋体"/>
                <w:lang w:val="en-US"/>
              </w:rPr>
            </w:pPr>
            <w:r>
              <w:rPr>
                <w:rFonts w:hint="eastAsia" w:ascii="宋体" w:hAnsi="宋体"/>
                <w:lang w:val="en-US"/>
              </w:rPr>
              <w:t>计算</w:t>
            </w:r>
            <w:r>
              <w:rPr>
                <w:rFonts w:hint="eastAsia"/>
              </w:rPr>
              <w:t>建筑体积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3</w:t>
            </w:r>
            <w:r>
              <w:rPr>
                <w:rFonts w:hint="eastAsia" w:ascii="宋体" w:hAnsi="宋体"/>
                <w:lang w:val="en-US"/>
              </w:rPr>
              <w:t>)</w:t>
            </w:r>
          </w:p>
        </w:tc>
        <w:tc>
          <w:tcPr>
            <w:tcW w:w="6231" w:type="dxa"/>
            <w:gridSpan w:val="2"/>
          </w:tcPr>
          <w:p w14:paraId="45ADBFAB">
            <w:pPr>
              <w:pStyle w:val="3"/>
              <w:ind w:firstLine="0" w:firstLineChars="0"/>
              <w:rPr>
                <w:rFonts w:hint="eastAsia" w:ascii="宋体" w:hAnsi="宋体"/>
                <w:lang w:val="en-US"/>
              </w:rPr>
            </w:pPr>
            <w:bookmarkStart w:id="27" w:name="建筑体积"/>
            <w:r>
              <w:t>36076.06</w:t>
            </w:r>
            <w:bookmarkEnd w:id="27"/>
          </w:p>
        </w:tc>
      </w:tr>
      <w:tr w14:paraId="11B4A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2CAC02BA">
            <w:pPr>
              <w:pStyle w:val="3"/>
              <w:ind w:firstLine="0" w:firstLineChars="0"/>
              <w:rPr>
                <w:rFonts w:hint="eastAsia" w:ascii="宋体" w:hAnsi="宋体"/>
                <w:lang w:val="en-US"/>
              </w:rPr>
            </w:pPr>
            <w:r>
              <w:rPr>
                <w:rFonts w:hint="eastAsia" w:ascii="宋体" w:hAnsi="宋体"/>
                <w:lang w:val="en-US"/>
              </w:rPr>
              <w:t>计算</w:t>
            </w:r>
            <w:r>
              <w:rPr>
                <w:rFonts w:hint="eastAsia"/>
              </w:rPr>
              <w:t>建筑外表面积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5DF16B77">
            <w:pPr>
              <w:pStyle w:val="3"/>
              <w:ind w:firstLine="0" w:firstLineChars="0"/>
              <w:rPr>
                <w:rFonts w:hint="eastAsia" w:ascii="宋体" w:hAnsi="宋体"/>
                <w:lang w:val="en-US"/>
              </w:rPr>
            </w:pPr>
            <w:bookmarkStart w:id="28" w:name="外表面积"/>
            <w:r>
              <w:t>6839.17</w:t>
            </w:r>
            <w:bookmarkEnd w:id="28"/>
          </w:p>
        </w:tc>
      </w:tr>
      <w:tr w14:paraId="32E999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9CBD6E7">
            <w:pPr>
              <w:pStyle w:val="3"/>
              <w:ind w:firstLine="0" w:firstLineChars="0"/>
              <w:rPr>
                <w:rFonts w:hint="eastAsia" w:ascii="宋体" w:hAnsi="宋体"/>
                <w:lang w:val="en-US"/>
              </w:rPr>
            </w:pPr>
            <w:r>
              <w:rPr>
                <w:rFonts w:hint="eastAsia" w:ascii="宋体" w:hAnsi="宋体"/>
                <w:lang w:val="en-US"/>
              </w:rPr>
              <w:t>北向角度</w:t>
            </w:r>
          </w:p>
        </w:tc>
        <w:tc>
          <w:tcPr>
            <w:tcW w:w="6231" w:type="dxa"/>
            <w:gridSpan w:val="2"/>
          </w:tcPr>
          <w:p w14:paraId="7C004F28">
            <w:pPr>
              <w:pStyle w:val="3"/>
              <w:ind w:firstLine="0" w:firstLineChars="0"/>
              <w:rPr>
                <w:rFonts w:hint="eastAsia" w:ascii="宋体" w:hAnsi="宋体"/>
                <w:lang w:val="en-US"/>
              </w:rPr>
            </w:pPr>
            <w:bookmarkStart w:id="29" w:name="北向角度"/>
            <w:r>
              <w:t>270</w:t>
            </w:r>
            <w:bookmarkEnd w:id="29"/>
          </w:p>
        </w:tc>
      </w:tr>
      <w:tr w14:paraId="70A4DC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6AB3534">
            <w:pPr>
              <w:pStyle w:val="3"/>
              <w:ind w:firstLine="0" w:firstLineChars="0"/>
              <w:rPr>
                <w:rFonts w:hint="eastAsia" w:ascii="宋体" w:hAnsi="宋体"/>
                <w:lang w:val="en-US"/>
              </w:rPr>
            </w:pPr>
            <w:r>
              <w:rPr>
                <w:rFonts w:hint="eastAsia" w:ascii="宋体" w:hAnsi="宋体"/>
                <w:lang w:val="en-US"/>
              </w:rPr>
              <w:t>结构类型</w:t>
            </w:r>
          </w:p>
        </w:tc>
        <w:tc>
          <w:tcPr>
            <w:tcW w:w="6231" w:type="dxa"/>
            <w:gridSpan w:val="2"/>
          </w:tcPr>
          <w:p w14:paraId="3124ED00">
            <w:pPr>
              <w:pStyle w:val="3"/>
              <w:ind w:firstLine="0" w:firstLineChars="0"/>
              <w:rPr>
                <w:rFonts w:hint="eastAsia" w:ascii="宋体" w:hAnsi="宋体"/>
                <w:lang w:val="en-US"/>
              </w:rPr>
            </w:pPr>
            <w:bookmarkStart w:id="30" w:name="结构类型"/>
            <w:bookmarkEnd w:id="30"/>
          </w:p>
        </w:tc>
      </w:tr>
      <w:tr w14:paraId="37B973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F9B1B17">
            <w:pPr>
              <w:pStyle w:val="3"/>
              <w:ind w:firstLine="0" w:firstLineChars="0"/>
              <w:rPr>
                <w:rFonts w:hint="eastAsia" w:ascii="宋体" w:hAnsi="宋体"/>
                <w:lang w:val="en-US"/>
              </w:rPr>
            </w:pPr>
            <w:r>
              <w:rPr>
                <w:rFonts w:hint="eastAsia"/>
              </w:rPr>
              <w:t>外墙太阳辐射吸收系数</w:t>
            </w:r>
          </w:p>
        </w:tc>
        <w:tc>
          <w:tcPr>
            <w:tcW w:w="6231" w:type="dxa"/>
            <w:gridSpan w:val="2"/>
          </w:tcPr>
          <w:p w14:paraId="7C6B3411">
            <w:pPr>
              <w:pStyle w:val="3"/>
              <w:ind w:firstLine="0" w:firstLineChars="0"/>
              <w:rPr>
                <w:rFonts w:hint="eastAsia" w:ascii="宋体" w:hAnsi="宋体"/>
                <w:lang w:val="en-US"/>
              </w:rPr>
            </w:pPr>
            <w:bookmarkStart w:id="31" w:name="外墙ρ"/>
            <w:r>
              <w:rPr>
                <w:rFonts w:hint="eastAsia"/>
              </w:rPr>
              <w:t>0.70</w:t>
            </w:r>
            <w:bookmarkEnd w:id="31"/>
          </w:p>
        </w:tc>
      </w:tr>
      <w:tr w14:paraId="0520A9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60A304C7">
            <w:pPr>
              <w:pStyle w:val="3"/>
              <w:ind w:firstLine="0" w:firstLineChars="0"/>
              <w:rPr>
                <w:rFonts w:hint="eastAsia" w:ascii="宋体" w:hAnsi="宋体"/>
                <w:lang w:val="en-US"/>
              </w:rPr>
            </w:pPr>
            <w:r>
              <w:rPr>
                <w:rFonts w:hint="eastAsia"/>
              </w:rPr>
              <w:t>屋顶太阳辐射吸收系数</w:t>
            </w:r>
          </w:p>
        </w:tc>
        <w:tc>
          <w:tcPr>
            <w:tcW w:w="6231" w:type="dxa"/>
            <w:gridSpan w:val="2"/>
          </w:tcPr>
          <w:p w14:paraId="68FB20A8">
            <w:pPr>
              <w:pStyle w:val="3"/>
              <w:ind w:firstLine="0" w:firstLineChars="0"/>
              <w:rPr>
                <w:rFonts w:hint="eastAsia" w:ascii="宋体" w:hAnsi="宋体"/>
                <w:lang w:val="en-US"/>
              </w:rPr>
            </w:pPr>
            <w:bookmarkStart w:id="32" w:name="屋顶ρ"/>
            <w:r>
              <w:rPr>
                <w:rFonts w:hint="eastAsia"/>
              </w:rPr>
              <w:t>0.70</w:t>
            </w:r>
            <w:bookmarkEnd w:id="32"/>
          </w:p>
        </w:tc>
      </w:tr>
      <w:tr w14:paraId="52ED1C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104C6CE">
            <w:pPr>
              <w:pStyle w:val="3"/>
              <w:ind w:firstLine="0" w:firstLineChars="0"/>
            </w:pPr>
            <w:r>
              <w:rPr>
                <w:rFonts w:hint="eastAsia"/>
              </w:rPr>
              <w:t>控温期</w:t>
            </w:r>
          </w:p>
        </w:tc>
        <w:tc>
          <w:tcPr>
            <w:tcW w:w="6231" w:type="dxa"/>
            <w:gridSpan w:val="2"/>
          </w:tcPr>
          <w:p w14:paraId="3F4B9DAF">
            <w:pPr>
              <w:pStyle w:val="3"/>
              <w:ind w:firstLine="0" w:firstLineChars="0"/>
            </w:pPr>
            <w:bookmarkStart w:id="33" w:name="控温期"/>
            <w:r>
              <w:t>供冷期:5.15~9.15,供暖期:11.15~3.15，暑假:7.15~8.25; 寒假：1.15~3.1</w:t>
            </w:r>
            <w:bookmarkEnd w:id="33"/>
          </w:p>
        </w:tc>
      </w:tr>
    </w:tbl>
    <w:p w14:paraId="0B71C6D5">
      <w:pPr>
        <w:pStyle w:val="3"/>
        <w:ind w:firstLine="420"/>
        <w:rPr>
          <w:rFonts w:hint="eastAsia" w:ascii="微软雅黑" w:hAnsi="微软雅黑" w:eastAsia="微软雅黑"/>
          <w:lang w:val="en-US"/>
        </w:rPr>
      </w:pPr>
      <w:bookmarkStart w:id="118" w:name="_GoBack"/>
      <w:bookmarkEnd w:id="118"/>
    </w:p>
    <w:p w14:paraId="0C428E56">
      <w:pPr>
        <w:pStyle w:val="3"/>
        <w:ind w:firstLine="420"/>
        <w:rPr>
          <w:lang w:val="en-US"/>
        </w:rPr>
      </w:pPr>
    </w:p>
    <w:p w14:paraId="705B2E83">
      <w:pPr>
        <w:pStyle w:val="4"/>
        <w:spacing w:before="156"/>
        <w:rPr>
          <w:rFonts w:hint="eastAsia"/>
        </w:rPr>
      </w:pPr>
      <w:bookmarkStart w:id="34" w:name="_Toc802"/>
      <w:bookmarkStart w:id="35" w:name="_Toc44772816"/>
      <w:bookmarkStart w:id="36" w:name="_Toc452108761"/>
      <w:bookmarkStart w:id="37" w:name="_Toc44662464"/>
      <w:r>
        <w:rPr>
          <w:rFonts w:hint="eastAsia"/>
        </w:rPr>
        <w:t>三</w:t>
      </w:r>
      <w:r>
        <w:t>维视图</w:t>
      </w:r>
      <w:bookmarkEnd w:id="34"/>
      <w:bookmarkEnd w:id="35"/>
      <w:bookmarkEnd w:id="36"/>
      <w:bookmarkEnd w:id="37"/>
    </w:p>
    <w:p w14:paraId="75145D69">
      <w:pPr>
        <w:jc w:val="center"/>
        <w:rPr>
          <w:rFonts w:hint="eastAsia" w:ascii="微软雅黑" w:hAnsi="微软雅黑" w:eastAsia="微软雅黑"/>
        </w:rPr>
      </w:pPr>
      <w:bookmarkStart w:id="38" w:name="模型观察"/>
      <w:r>
        <w:t>请先在【模型观察】命令中保存图片</w:t>
      </w:r>
      <w:bookmarkEnd w:id="38"/>
      <w:bookmarkStart w:id="39" w:name="三维视图"/>
      <w:bookmarkEnd w:id="39"/>
    </w:p>
    <w:p w14:paraId="29506EDF"/>
    <w:p w14:paraId="0DBA1FE1">
      <w:pPr>
        <w:pStyle w:val="2"/>
        <w:spacing w:before="312"/>
        <w:rPr>
          <w:rFonts w:hint="eastAsia"/>
        </w:rPr>
      </w:pPr>
      <w:bookmarkStart w:id="40" w:name="TitleFormat"/>
      <w:bookmarkStart w:id="41" w:name="_Toc44662465"/>
      <w:bookmarkStart w:id="42" w:name="_Toc452108762"/>
      <w:bookmarkStart w:id="43" w:name="_Toc44772817"/>
      <w:bookmarkStart w:id="44" w:name="_Toc29955"/>
      <w:r>
        <w:rPr>
          <w:rFonts w:hint="eastAsia"/>
        </w:rPr>
        <w:t>计算</w:t>
      </w:r>
      <w:r>
        <w:t>依据</w:t>
      </w:r>
      <w:bookmarkEnd w:id="40"/>
      <w:bookmarkEnd w:id="41"/>
      <w:bookmarkEnd w:id="42"/>
      <w:bookmarkEnd w:id="43"/>
      <w:bookmarkEnd w:id="44"/>
    </w:p>
    <w:p w14:paraId="3865BD6D">
      <w:pPr>
        <w:pStyle w:val="3"/>
        <w:spacing w:line="400" w:lineRule="exact"/>
        <w:ind w:firstLine="199" w:firstLineChars="95"/>
        <w:rPr>
          <w:rFonts w:hint="eastAsia" w:ascii="微软雅黑" w:hAnsi="微软雅黑" w:eastAsia="微软雅黑"/>
          <w:lang w:val="en-US"/>
        </w:rPr>
      </w:pPr>
      <w:bookmarkStart w:id="45" w:name="_Toc452108763"/>
      <w:r>
        <w:rPr>
          <w:rFonts w:hint="eastAsia" w:ascii="微软雅黑" w:hAnsi="微软雅黑" w:eastAsia="微软雅黑"/>
          <w:lang w:val="en-US"/>
        </w:rPr>
        <w:t>本项目主要参照资料为：</w:t>
      </w:r>
    </w:p>
    <w:p w14:paraId="3220CB66">
      <w:pPr>
        <w:pStyle w:val="3"/>
        <w:numPr>
          <w:ilvl w:val="0"/>
          <w:numId w:val="2"/>
        </w:numPr>
        <w:spacing w:line="400" w:lineRule="exact"/>
        <w:ind w:left="0" w:firstLine="200" w:firstLineChars="0"/>
        <w:rPr>
          <w:rFonts w:hint="eastAsia" w:ascii="微软雅黑" w:hAnsi="微软雅黑" w:eastAsia="微软雅黑"/>
          <w:lang w:val="en-US"/>
        </w:rPr>
      </w:pPr>
      <w:bookmarkStart w:id="46" w:name="参考标准名称1"/>
      <w:r>
        <w:rPr>
          <w:rFonts w:hint="eastAsia" w:ascii="微软雅黑" w:hAnsi="微软雅黑" w:eastAsia="微软雅黑"/>
          <w:lang w:val="en-US"/>
        </w:rPr>
        <w:t>《绿色建筑评价标准》GB/T 50378-2019（2024年版）</w:t>
      </w:r>
      <w:bookmarkEnd w:id="46"/>
    </w:p>
    <w:p w14:paraId="2F27E8DD">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《绿色建筑评价技术细则》</w:t>
      </w:r>
    </w:p>
    <w:p w14:paraId="291D33D6">
      <w:pPr>
        <w:pStyle w:val="3"/>
        <w:numPr>
          <w:ilvl w:val="0"/>
          <w:numId w:val="2"/>
        </w:numPr>
        <w:spacing w:line="400" w:lineRule="exact"/>
        <w:ind w:left="0" w:firstLine="200" w:firstLineChars="0"/>
        <w:rPr>
          <w:rFonts w:hint="eastAsia" w:ascii="微软雅黑" w:hAnsi="微软雅黑" w:eastAsia="微软雅黑"/>
          <w:lang w:val="en-US"/>
        </w:rPr>
      </w:pPr>
      <w:bookmarkStart w:id="47" w:name="_Hlk13496340"/>
      <w:r>
        <w:rPr>
          <w:rFonts w:hint="eastAsia" w:ascii="微软雅黑" w:hAnsi="微软雅黑" w:eastAsia="微软雅黑"/>
          <w:lang w:val="en-US"/>
        </w:rPr>
        <w:t>《民用建筑室内热湿环境评价标准》</w:t>
      </w:r>
      <w:r>
        <w:rPr>
          <w:rFonts w:ascii="微软雅黑" w:hAnsi="微软雅黑" w:eastAsia="微软雅黑"/>
          <w:lang w:val="en-US"/>
        </w:rPr>
        <w:t>GB/T 50785-2012</w:t>
      </w:r>
    </w:p>
    <w:p w14:paraId="605A7281">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 xml:space="preserve">《热环境人类工效学 </w:t>
      </w:r>
      <w:r>
        <w:rPr>
          <w:rFonts w:ascii="微软雅黑" w:hAnsi="微软雅黑" w:eastAsia="微软雅黑"/>
          <w:lang w:val="en-US"/>
        </w:rPr>
        <w:t xml:space="preserve"> </w:t>
      </w:r>
      <w:r>
        <w:rPr>
          <w:rFonts w:hint="eastAsia" w:ascii="微软雅黑" w:hAnsi="微软雅黑" w:eastAsia="微软雅黑"/>
          <w:lang w:val="en-US"/>
        </w:rPr>
        <w:t>通过计算PMV和PPD指数与局部热舒适准则对热舒适进行分析测定与解释》</w:t>
      </w:r>
      <w:r>
        <w:rPr>
          <w:rFonts w:ascii="微软雅黑" w:hAnsi="微软雅黑" w:eastAsia="微软雅黑"/>
          <w:lang w:val="en-US"/>
        </w:rPr>
        <w:t>GB/T18049-2017</w:t>
      </w:r>
    </w:p>
    <w:bookmarkEnd w:id="47"/>
    <w:p w14:paraId="08E7AFEF">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《民用建筑供暖通风与空气调节设计规范》</w:t>
      </w:r>
      <w:r>
        <w:rPr>
          <w:rFonts w:ascii="微软雅黑" w:hAnsi="微软雅黑" w:eastAsia="微软雅黑"/>
          <w:lang w:val="en-US"/>
        </w:rPr>
        <w:t>GB50736-2012</w:t>
      </w:r>
    </w:p>
    <w:p w14:paraId="3B551AF9">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《民用建筑热工设计规范》</w:t>
      </w:r>
      <w:r>
        <w:rPr>
          <w:rFonts w:ascii="微软雅黑" w:hAnsi="微软雅黑" w:eastAsia="微软雅黑"/>
          <w:lang w:val="en-US"/>
        </w:rPr>
        <w:t>GB 50176-2016</w:t>
      </w:r>
      <w:bookmarkStart w:id="48" w:name="_Hlk13516321"/>
    </w:p>
    <w:bookmarkEnd w:id="48"/>
    <w:p w14:paraId="4AF8904F">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3CC4F5F9">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 xml:space="preserve"> 委托方提供的其他相关资料</w:t>
      </w:r>
    </w:p>
    <w:p w14:paraId="6B1D320A">
      <w:pPr>
        <w:pStyle w:val="2"/>
        <w:spacing w:before="312"/>
        <w:rPr>
          <w:rFonts w:hint="eastAsia"/>
        </w:rPr>
      </w:pPr>
      <w:bookmarkStart w:id="49" w:name="_Toc44772818"/>
      <w:bookmarkStart w:id="50" w:name="_Toc44662466"/>
      <w:bookmarkStart w:id="51" w:name="_Toc3637"/>
      <w:r>
        <w:rPr>
          <w:rFonts w:hint="eastAsia"/>
        </w:rPr>
        <w:t>参考</w:t>
      </w:r>
      <w:r>
        <w:t>标准</w:t>
      </w:r>
      <w:bookmarkEnd w:id="45"/>
      <w:bookmarkEnd w:id="49"/>
      <w:bookmarkEnd w:id="50"/>
      <w:bookmarkEnd w:id="51"/>
    </w:p>
    <w:p w14:paraId="5A1588A4">
      <w:pPr>
        <w:pStyle w:val="3"/>
        <w:spacing w:line="400" w:lineRule="exact"/>
        <w:ind w:firstLine="420"/>
        <w:rPr>
          <w:rFonts w:hint="eastAsia" w:ascii="微软雅黑" w:hAnsi="微软雅黑" w:eastAsia="微软雅黑"/>
          <w:lang w:val="en-US"/>
        </w:rPr>
      </w:pPr>
      <w:bookmarkStart w:id="52" w:name="_Toc451698935"/>
      <w:bookmarkStart w:id="53" w:name="_Toc452108764"/>
      <w:bookmarkStart w:id="54" w:name="_Toc44772819"/>
      <w:bookmarkStart w:id="55" w:name="_Toc44662467"/>
      <w:r>
        <w:rPr>
          <w:rFonts w:hint="eastAsia" w:ascii="微软雅黑" w:hAnsi="微软雅黑" w:eastAsia="微软雅黑"/>
          <w:lang w:val="en-US"/>
        </w:rPr>
        <w:t>室内热湿环境评价的主要依据为</w:t>
      </w:r>
      <w:bookmarkStart w:id="56" w:name="参考标准名称2"/>
      <w:r>
        <w:rPr>
          <w:rFonts w:hint="eastAsia" w:ascii="微软雅黑" w:hAnsi="微软雅黑" w:eastAsia="微软雅黑"/>
          <w:lang w:val="en-US"/>
        </w:rPr>
        <w:t>《绿色建筑评价标准》GB/T 50378-2019（2024年版）</w:t>
      </w:r>
      <w:bookmarkEnd w:id="56"/>
      <w:r>
        <w:rPr>
          <w:rFonts w:hint="eastAsia" w:ascii="微软雅黑" w:hAnsi="微软雅黑" w:eastAsia="微软雅黑"/>
          <w:lang w:val="en-US"/>
        </w:rPr>
        <w:t>中5.2.9条第2款的要求，具体评分规则如下：</w:t>
      </w:r>
    </w:p>
    <w:p w14:paraId="0727E1B6">
      <w:pPr>
        <w:pStyle w:val="3"/>
        <w:spacing w:line="400" w:lineRule="exact"/>
        <w:ind w:firstLine="420"/>
        <w:rPr>
          <w:rFonts w:hint="eastAsia" w:ascii="微软雅黑" w:hAnsi="微软雅黑" w:eastAsia="微软雅黑"/>
          <w:lang w:val="en-US"/>
        </w:rPr>
      </w:pPr>
      <w:r>
        <w:rPr>
          <w:rFonts w:ascii="微软雅黑" w:hAnsi="微软雅黑" w:eastAsia="微软雅黑"/>
          <w:lang w:val="en-US"/>
        </w:rPr>
        <w:t xml:space="preserve">2 </w:t>
      </w:r>
      <w:r>
        <w:rPr>
          <w:rFonts w:hint="eastAsia" w:ascii="微软雅黑" w:hAnsi="微软雅黑" w:eastAsia="微软雅黑"/>
          <w:u w:val="single"/>
          <w:lang w:val="en-US"/>
        </w:rPr>
        <w:t>建筑主要功能房间供暖、空调工况下室内热环境参数</w:t>
      </w:r>
      <w:r>
        <w:rPr>
          <w:rFonts w:hint="eastAsia" w:ascii="微软雅黑" w:hAnsi="微软雅黑" w:eastAsia="微软雅黑"/>
          <w:lang w:val="en-US"/>
        </w:rPr>
        <w:t>达到现行国家标准《民用建筑室内热湿环境评价标准》GB/T50785规定的室内人工冷热源热湿环境整体评价</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 2 \* ROMAN</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II</w:t>
      </w:r>
      <w:r>
        <w:rPr>
          <w:rFonts w:ascii="微软雅黑" w:hAnsi="微软雅黑" w:eastAsia="微软雅黑"/>
          <w:lang w:val="en-US"/>
        </w:rPr>
        <w:fldChar w:fldCharType="end"/>
      </w:r>
      <w:r>
        <w:rPr>
          <w:rFonts w:hint="eastAsia" w:ascii="微软雅黑" w:hAnsi="微软雅黑" w:eastAsia="微软雅黑"/>
          <w:lang w:val="en-US"/>
        </w:rPr>
        <w:t>级的面积比例，达到60%, 得5分；每再增加10%, 再得1 分，最高得8分。</w:t>
      </w:r>
    </w:p>
    <w:p w14:paraId="200AA656">
      <w:pPr>
        <w:pStyle w:val="2"/>
        <w:spacing w:before="312"/>
        <w:rPr>
          <w:rFonts w:hint="eastAsia"/>
        </w:rPr>
      </w:pPr>
      <w:bookmarkStart w:id="57" w:name="_Toc31373"/>
      <w:r>
        <w:rPr>
          <w:rFonts w:hint="eastAsia"/>
        </w:rPr>
        <w:t>计算</w:t>
      </w:r>
      <w:bookmarkEnd w:id="52"/>
      <w:bookmarkEnd w:id="53"/>
      <w:r>
        <w:rPr>
          <w:rFonts w:hint="eastAsia"/>
        </w:rPr>
        <w:t>方法</w:t>
      </w:r>
      <w:bookmarkEnd w:id="54"/>
      <w:bookmarkEnd w:id="55"/>
      <w:bookmarkEnd w:id="57"/>
    </w:p>
    <w:p w14:paraId="539BF2F4">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本项目首先采用室内热湿环境参数、人体代谢及做功、服装热阻参数计算出室内热湿环境参数相关指标，并进行达标计算。</w:t>
      </w:r>
    </w:p>
    <w:p w14:paraId="20C45FF2">
      <w:pPr>
        <w:pStyle w:val="4"/>
        <w:spacing w:before="156"/>
        <w:rPr>
          <w:rFonts w:hint="eastAsia"/>
        </w:rPr>
      </w:pPr>
      <w:bookmarkStart w:id="58" w:name="_Toc44662472"/>
      <w:bookmarkStart w:id="59" w:name="_Toc44772820"/>
      <w:bookmarkStart w:id="60" w:name="_Toc16492"/>
      <w:r>
        <w:rPr>
          <w:rFonts w:hint="eastAsia"/>
        </w:rPr>
        <w:t>热湿环境评价</w:t>
      </w:r>
      <w:r>
        <w:t>指标</w:t>
      </w:r>
      <w:r>
        <w:rPr>
          <w:rFonts w:hint="eastAsia"/>
        </w:rPr>
        <w:t>计算</w:t>
      </w:r>
      <w:bookmarkEnd w:id="58"/>
      <w:bookmarkEnd w:id="59"/>
      <w:bookmarkEnd w:id="60"/>
    </w:p>
    <w:p w14:paraId="28A19092">
      <w:pPr>
        <w:pStyle w:val="3"/>
        <w:spacing w:line="400" w:lineRule="exact"/>
        <w:ind w:firstLine="420"/>
        <w:rPr>
          <w:rFonts w:hint="eastAsia" w:ascii="微软雅黑" w:hAnsi="微软雅黑" w:eastAsia="微软雅黑"/>
          <w:lang w:val="zh-CN"/>
        </w:rPr>
      </w:pPr>
      <w:r>
        <w:rPr>
          <w:rFonts w:ascii="微软雅黑" w:hAnsi="微软雅黑" w:eastAsia="微软雅黑"/>
          <w:lang w:val="zh-CN"/>
        </w:rPr>
        <w:t>人类的热感觉主要与其全身热平衡有关。这种平衡不仅受空气温度、平均辐射温度、风速和空气湿度等环境参数影响，还受人体活动和着装的影响。对这些参数估算或测量后，人的整体热感觉可以通过计算预计平均热感觉指数（PMV）进行预测</w:t>
      </w:r>
      <w:r>
        <w:rPr>
          <w:rFonts w:hint="eastAsia" w:ascii="微软雅黑" w:hAnsi="微软雅黑" w:eastAsia="微软雅黑"/>
          <w:lang w:val="zh-CN"/>
        </w:rPr>
        <w:t>。</w:t>
      </w:r>
    </w:p>
    <w:p w14:paraId="5933F9B8">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预计平均热感觉指标</w:t>
      </w:r>
      <w:r>
        <w:rPr>
          <w:rFonts w:ascii="微软雅黑" w:hAnsi="微软雅黑" w:eastAsia="微软雅黑"/>
          <w:lang w:val="en-US"/>
        </w:rPr>
        <w:t>PMV</w:t>
      </w:r>
      <w:r>
        <w:rPr>
          <w:rFonts w:hint="eastAsia" w:ascii="微软雅黑" w:hAnsi="微软雅黑" w:eastAsia="微软雅黑"/>
          <w:lang w:val="en-US"/>
        </w:rPr>
        <w:t>（Pre</w:t>
      </w:r>
      <w:r>
        <w:rPr>
          <w:rFonts w:ascii="微软雅黑" w:hAnsi="微软雅黑" w:eastAsia="微软雅黑"/>
          <w:lang w:val="en-US"/>
        </w:rPr>
        <w:t>dict mean vote</w:t>
      </w:r>
      <w:r>
        <w:rPr>
          <w:rFonts w:hint="eastAsia" w:ascii="微软雅黑" w:hAnsi="微软雅黑" w:eastAsia="微软雅黑"/>
          <w:lang w:val="en-US"/>
        </w:rPr>
        <w:t>）为人群对热感觉等级投票的平均指数，根据人体热平衡的基本方程式以及心理和生理主观热感觉的等级为出发点，考虑了人体热舒适感的各种相关因素的全面评价指标。</w:t>
      </w:r>
      <w:bookmarkStart w:id="61" w:name="_Hlk13601794"/>
      <w:r>
        <w:rPr>
          <w:rFonts w:hint="eastAsia" w:ascii="微软雅黑" w:hAnsi="微软雅黑" w:eastAsia="微软雅黑"/>
          <w:lang w:val="en-US"/>
        </w:rPr>
        <w:t>本项目采用《民用建筑室内热湿环境评价标准》GB/T 50785-2012中所示的计算程序完成上述PMV的计算。</w:t>
      </w:r>
    </w:p>
    <w:p w14:paraId="39FFE907">
      <w:pPr>
        <w:pStyle w:val="5"/>
        <w:spacing w:before="156"/>
        <w:rPr>
          <w:rFonts w:hint="eastAsia"/>
        </w:rPr>
      </w:pPr>
      <w:bookmarkStart w:id="62" w:name="_Toc44772821"/>
      <w:bookmarkStart w:id="63" w:name="_Toc44662473"/>
      <w:r>
        <w:t>PMV</w:t>
      </w:r>
      <w:r>
        <w:rPr>
          <w:rFonts w:hint="eastAsia"/>
        </w:rPr>
        <w:t>计算公式</w:t>
      </w:r>
      <w:bookmarkEnd w:id="62"/>
      <w:bookmarkEnd w:id="63"/>
    </w:p>
    <w:bookmarkEnd w:id="61"/>
    <w:p w14:paraId="299B7B93">
      <w:pPr>
        <w:rPr>
          <w:lang w:val="en-US"/>
        </w:rPr>
      </w:pPr>
      <w:r>
        <w:rPr>
          <w:lang w:val="en-US"/>
        </w:rPr>
        <w:t xml:space="preserve">   </w:t>
      </w:r>
      <w:r>
        <w:rPr>
          <w:rFonts w:hint="eastAsia"/>
          <w:lang w:val="en-US"/>
        </w:rPr>
        <w:t xml:space="preserve"> </w:t>
      </w:r>
      <w:r>
        <w:rPr>
          <w:lang w:val="en-US"/>
        </w:rPr>
        <w:t xml:space="preserve"> </w:t>
      </w:r>
      <w:r>
        <w:rPr>
          <w:lang w:val="en-US"/>
        </w:rPr>
        <w:drawing>
          <wp:inline distT="0" distB="0" distL="0" distR="0">
            <wp:extent cx="5591175" cy="2762250"/>
            <wp:effectExtent l="0" t="0" r="8890" b="7620"/>
            <wp:docPr id="4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7"/>
                    <pic:cNvPicPr>
                      <a:picLocks noChangeAspect="1" noChangeArrowheads="1"/>
                    </pic:cNvPicPr>
                  </pic:nvPicPr>
                  <pic:blipFill>
                    <a:blip r:embed="rId10">
                      <a:extLst>
                        <a:ext uri="{28A0092B-C50C-407E-A947-70E740481C1C}">
                          <a14:useLocalDpi xmlns:a14="http://schemas.microsoft.com/office/drawing/2010/main" val="0"/>
                        </a:ext>
                      </a:extLst>
                    </a:blip>
                    <a:srcRect r="1077"/>
                    <a:stretch>
                      <a:fillRect/>
                    </a:stretch>
                  </pic:blipFill>
                  <pic:spPr>
                    <a:xfrm>
                      <a:off x="0" y="0"/>
                      <a:ext cx="5591175" cy="2762250"/>
                    </a:xfrm>
                    <a:prstGeom prst="rect">
                      <a:avLst/>
                    </a:prstGeom>
                    <a:noFill/>
                    <a:ln>
                      <a:noFill/>
                    </a:ln>
                  </pic:spPr>
                </pic:pic>
              </a:graphicData>
            </a:graphic>
          </wp:inline>
        </w:drawing>
      </w:r>
    </w:p>
    <w:p w14:paraId="4CE07B90">
      <w:pPr>
        <w:pStyle w:val="3"/>
        <w:spacing w:line="400" w:lineRule="exact"/>
        <w:ind w:firstLine="420"/>
        <w:rPr>
          <w:rFonts w:hint="eastAsia" w:ascii="微软雅黑" w:hAnsi="微软雅黑" w:eastAsia="微软雅黑"/>
          <w:lang w:val="en-US"/>
        </w:rPr>
      </w:pPr>
      <w:bookmarkStart w:id="64" w:name="_Toc44662474"/>
      <w:bookmarkStart w:id="65" w:name="_Toc44772822"/>
      <w:r>
        <w:rPr>
          <w:rFonts w:hint="eastAsia" w:ascii="微软雅黑" w:hAnsi="微软雅黑" w:eastAsia="微软雅黑"/>
          <w:lang w:val="en-US"/>
        </w:rPr>
        <w:t>式中：</w:t>
      </w:r>
    </w:p>
    <w:p w14:paraId="5AF10FE3">
      <w:pPr>
        <w:pStyle w:val="3"/>
        <w:spacing w:line="400" w:lineRule="exact"/>
        <w:ind w:firstLine="420" w:firstLineChars="0"/>
        <w:rPr>
          <w:rFonts w:hint="eastAsia" w:ascii="微软雅黑" w:hAnsi="微软雅黑" w:eastAsia="微软雅黑"/>
          <w:lang w:val="en-US"/>
        </w:rPr>
      </w:pPr>
      <w:r>
        <w:rPr>
          <w:rFonts w:ascii="微软雅黑" w:hAnsi="微软雅黑" w:eastAsia="微软雅黑"/>
          <w:lang w:val="en-US"/>
        </w:rPr>
        <w:t>PMV——</w:t>
      </w:r>
      <w:r>
        <w:rPr>
          <w:rFonts w:hint="eastAsia" w:ascii="微软雅黑" w:hAnsi="微软雅黑" w:eastAsia="微软雅黑"/>
          <w:lang w:val="en-US"/>
        </w:rPr>
        <w:t>预计平均热感觉指数；</w:t>
      </w:r>
    </w:p>
    <w:p w14:paraId="6CFB69BA">
      <w:pPr>
        <w:pStyle w:val="3"/>
        <w:spacing w:line="400" w:lineRule="exact"/>
        <w:ind w:firstLine="420" w:firstLineChars="0"/>
        <w:rPr>
          <w:rFonts w:hint="eastAsia" w:ascii="微软雅黑" w:hAnsi="微软雅黑" w:eastAsia="微软雅黑"/>
          <w:lang w:val="en-US"/>
        </w:rPr>
      </w:pPr>
      <w:r>
        <w:rPr>
          <w:rFonts w:ascii="微软雅黑" w:hAnsi="微软雅黑" w:eastAsia="微软雅黑"/>
          <w:lang w:val="en-US"/>
        </w:rPr>
        <w:t>M  ——</w:t>
      </w:r>
      <w:r>
        <w:rPr>
          <w:rFonts w:hint="eastAsia" w:ascii="微软雅黑" w:hAnsi="微软雅黑" w:eastAsia="微软雅黑"/>
          <w:lang w:val="en-US"/>
        </w:rPr>
        <w:t>代谢率（W</w:t>
      </w:r>
      <w:r>
        <w:rPr>
          <w:rFonts w:ascii="微软雅黑" w:hAnsi="微软雅黑" w:eastAsia="微软雅黑"/>
          <w:lang w:val="en-US"/>
        </w:rPr>
        <w:t>/m</w:t>
      </w:r>
      <w:r>
        <w:rPr>
          <w:rFonts w:ascii="微软雅黑" w:hAnsi="微软雅黑" w:eastAsia="微软雅黑"/>
          <w:vertAlign w:val="superscript"/>
          <w:lang w:val="en-US"/>
        </w:rPr>
        <w:t>2</w:t>
      </w:r>
      <w:r>
        <w:rPr>
          <w:rFonts w:hint="eastAsia" w:ascii="微软雅黑" w:hAnsi="微软雅黑" w:eastAsia="微软雅黑"/>
          <w:lang w:val="en-US"/>
        </w:rPr>
        <w:t>），参考附录B不同活动的代谢率；</w:t>
      </w:r>
    </w:p>
    <w:p w14:paraId="041404DA">
      <w:pPr>
        <w:pStyle w:val="3"/>
        <w:spacing w:line="400" w:lineRule="exact"/>
        <w:ind w:firstLine="420" w:firstLineChars="0"/>
        <w:rPr>
          <w:rFonts w:hint="eastAsia" w:ascii="微软雅黑" w:hAnsi="微软雅黑" w:eastAsia="微软雅黑"/>
          <w:lang w:val="en-US"/>
        </w:rPr>
      </w:pPr>
      <w:r>
        <w:rPr>
          <w:rFonts w:ascii="微软雅黑" w:hAnsi="微软雅黑" w:eastAsia="微软雅黑"/>
          <w:lang w:val="en-US"/>
        </w:rPr>
        <w:t>W  ——</w:t>
      </w:r>
      <w:r>
        <w:rPr>
          <w:rFonts w:hint="eastAsia" w:ascii="微软雅黑" w:hAnsi="微软雅黑" w:eastAsia="微软雅黑"/>
          <w:lang w:val="en-US"/>
        </w:rPr>
        <w:t>有效机械功率（W</w:t>
      </w:r>
      <w:r>
        <w:rPr>
          <w:rFonts w:ascii="微软雅黑" w:hAnsi="微软雅黑" w:eastAsia="微软雅黑"/>
          <w:lang w:val="en-US"/>
        </w:rPr>
        <w:t>/m</w:t>
      </w:r>
      <w:r>
        <w:rPr>
          <w:rFonts w:ascii="微软雅黑" w:hAnsi="微软雅黑" w:eastAsia="微软雅黑"/>
          <w:vertAlign w:val="superscript"/>
          <w:lang w:val="en-US"/>
        </w:rPr>
        <w:t>2</w:t>
      </w:r>
      <w:r>
        <w:rPr>
          <w:rFonts w:hint="eastAsia" w:ascii="微软雅黑" w:hAnsi="微软雅黑" w:eastAsia="微软雅黑"/>
          <w:lang w:val="en-US"/>
        </w:rPr>
        <w:t>），通常情况下可近似为零；</w:t>
      </w:r>
    </w:p>
    <w:p w14:paraId="0F0AD17A">
      <w:pPr>
        <w:pStyle w:val="3"/>
        <w:spacing w:line="400" w:lineRule="exact"/>
        <w:ind w:firstLine="420" w:firstLineChars="0"/>
        <w:rPr>
          <w:rFonts w:hint="eastAsia" w:ascii="微软雅黑" w:hAnsi="微软雅黑" w:eastAsia="微软雅黑"/>
          <w:lang w:val="en-US"/>
        </w:rPr>
      </w:pPr>
      <w:r>
        <w:rPr>
          <w:rFonts w:hint="eastAsia" w:ascii="微软雅黑" w:hAnsi="微软雅黑" w:eastAsia="微软雅黑"/>
          <w:i/>
          <w:iCs/>
          <w:lang w:val="en-US"/>
        </w:rPr>
        <w:t>l</w:t>
      </w:r>
      <w:r>
        <w:rPr>
          <w:rFonts w:ascii="微软雅黑" w:hAnsi="微软雅黑" w:eastAsia="微软雅黑"/>
          <w:vertAlign w:val="subscript"/>
          <w:lang w:val="en-US"/>
        </w:rPr>
        <w:t xml:space="preserve">cl   </w:t>
      </w:r>
      <w:r>
        <w:rPr>
          <w:rFonts w:ascii="微软雅黑" w:hAnsi="微软雅黑" w:eastAsia="微软雅黑"/>
          <w:lang w:val="en-US"/>
        </w:rPr>
        <w:t>——</w:t>
      </w:r>
      <w:r>
        <w:rPr>
          <w:rFonts w:hint="eastAsia" w:ascii="微软雅黑" w:hAnsi="微软雅黑" w:eastAsia="微软雅黑"/>
          <w:lang w:val="en-US"/>
        </w:rPr>
        <w:t>服装热阻（m</w:t>
      </w:r>
      <w:r>
        <w:rPr>
          <w:rFonts w:ascii="微软雅黑" w:hAnsi="微软雅黑" w:eastAsia="微软雅黑"/>
          <w:vertAlign w:val="superscript"/>
          <w:lang w:val="en-US"/>
        </w:rPr>
        <w:t>2</w:t>
      </w:r>
      <w:r>
        <w:rPr>
          <w:rFonts w:ascii="微软雅黑" w:hAnsi="微软雅黑" w:eastAsia="微软雅黑"/>
          <w:lang w:val="en-US"/>
        </w:rPr>
        <w:t>∙K/W</w:t>
      </w:r>
      <w:r>
        <w:rPr>
          <w:rFonts w:hint="eastAsia" w:ascii="微软雅黑" w:hAnsi="微软雅黑" w:eastAsia="微软雅黑"/>
          <w:lang w:val="en-US"/>
        </w:rPr>
        <w:t>），参考附录C服装组合热阻估算；</w:t>
      </w:r>
    </w:p>
    <w:p w14:paraId="2D12E43A">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f</w:t>
      </w:r>
      <w:r>
        <w:rPr>
          <w:rFonts w:ascii="微软雅黑" w:hAnsi="微软雅黑" w:eastAsia="微软雅黑"/>
          <w:vertAlign w:val="subscript"/>
          <w:lang w:val="en-US"/>
        </w:rPr>
        <w:t xml:space="preserve">cl   </w:t>
      </w:r>
      <w:r>
        <w:rPr>
          <w:rFonts w:ascii="微软雅黑" w:hAnsi="微软雅黑" w:eastAsia="微软雅黑"/>
          <w:lang w:val="en-US"/>
        </w:rPr>
        <w:t>——</w:t>
      </w:r>
      <w:r>
        <w:rPr>
          <w:rFonts w:hint="eastAsia" w:ascii="微软雅黑" w:hAnsi="微软雅黑" w:eastAsia="微软雅黑"/>
          <w:lang w:val="en-US"/>
        </w:rPr>
        <w:t>服装表面系数，通过公式（4）求解；</w:t>
      </w:r>
    </w:p>
    <w:p w14:paraId="48CA53AB">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t</w:t>
      </w:r>
      <w:r>
        <w:rPr>
          <w:rFonts w:ascii="微软雅黑" w:hAnsi="微软雅黑" w:eastAsia="微软雅黑"/>
          <w:vertAlign w:val="subscript"/>
          <w:lang w:val="en-US"/>
        </w:rPr>
        <w:t xml:space="preserve">a  </w:t>
      </w:r>
      <w:r>
        <w:rPr>
          <w:rFonts w:hint="eastAsia" w:ascii="微软雅黑" w:hAnsi="微软雅黑" w:eastAsia="微软雅黑"/>
          <w:vertAlign w:val="subscript"/>
          <w:lang w:val="en-US"/>
        </w:rPr>
        <w:t xml:space="preserve"> </w:t>
      </w:r>
      <w:r>
        <w:rPr>
          <w:rFonts w:ascii="微软雅黑" w:hAnsi="微软雅黑" w:eastAsia="微软雅黑"/>
          <w:vertAlign w:val="subscript"/>
          <w:lang w:val="en-US"/>
        </w:rPr>
        <w:t xml:space="preserve"> </w:t>
      </w:r>
      <w:r>
        <w:rPr>
          <w:rFonts w:ascii="微软雅黑" w:hAnsi="微软雅黑" w:eastAsia="微软雅黑"/>
          <w:lang w:val="en-US"/>
        </w:rPr>
        <w:t>——</w:t>
      </w:r>
      <w:r>
        <w:rPr>
          <w:rFonts w:hint="eastAsia" w:ascii="微软雅黑" w:hAnsi="微软雅黑" w:eastAsia="微软雅黑"/>
          <w:lang w:val="en-US"/>
        </w:rPr>
        <w:t>空气温度（℃），CF</w:t>
      </w:r>
      <w:r>
        <w:rPr>
          <w:rFonts w:ascii="微软雅黑" w:hAnsi="微软雅黑" w:eastAsia="微软雅黑"/>
          <w:lang w:val="en-US"/>
        </w:rPr>
        <w:t>D</w:t>
      </w:r>
      <w:r>
        <w:rPr>
          <w:rFonts w:hint="eastAsia" w:ascii="微软雅黑" w:hAnsi="微软雅黑" w:eastAsia="微软雅黑"/>
          <w:lang w:val="en-US"/>
        </w:rPr>
        <w:t>求解；</w:t>
      </w:r>
    </w:p>
    <w:p w14:paraId="14F8B5B8">
      <w:pPr>
        <w:pStyle w:val="3"/>
        <w:spacing w:line="400" w:lineRule="exact"/>
        <w:ind w:firstLine="420" w:firstLineChars="0"/>
        <w:rPr>
          <w:rFonts w:hint="eastAsia" w:ascii="微软雅黑" w:hAnsi="微软雅黑" w:eastAsia="微软雅黑"/>
          <w:lang w:val="en-US"/>
        </w:rPr>
      </w:pPr>
      <w:r>
        <w:rPr>
          <w:rFonts w:ascii="微软雅黑" w:hAnsi="微软雅黑" w:eastAsia="微软雅黑"/>
          <w:position w:val="-6"/>
        </w:rPr>
        <w:object>
          <v:shape id="_x0000_i1025" o:spt="75" type="#_x0000_t75" style="height:18.75pt;width:9.7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ascii="微软雅黑" w:hAnsi="微软雅黑" w:eastAsia="微软雅黑"/>
        </w:rPr>
        <w:t xml:space="preserve">  </w:t>
      </w:r>
      <w:r>
        <w:rPr>
          <w:rFonts w:ascii="微软雅黑" w:hAnsi="微软雅黑" w:eastAsia="微软雅黑"/>
          <w:lang w:val="en-US"/>
        </w:rPr>
        <w:t>——</w:t>
      </w:r>
      <w:r>
        <w:rPr>
          <w:rFonts w:hint="eastAsia" w:ascii="微软雅黑" w:hAnsi="微软雅黑" w:eastAsia="微软雅黑"/>
          <w:lang w:val="en-US"/>
        </w:rPr>
        <w:t>平均辐射温度（℃），通过CFD求解获得室内各围护结构平均温度，再加权平均计算；</w:t>
      </w:r>
    </w:p>
    <w:p w14:paraId="24600B38">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v</w:t>
      </w:r>
      <w:r>
        <w:rPr>
          <w:rFonts w:ascii="微软雅黑" w:hAnsi="微软雅黑" w:eastAsia="微软雅黑"/>
          <w:vertAlign w:val="subscript"/>
          <w:lang w:val="en-US"/>
        </w:rPr>
        <w:t xml:space="preserve">ar </w:t>
      </w:r>
      <w:r>
        <w:rPr>
          <w:rFonts w:hint="eastAsia" w:ascii="微软雅黑" w:hAnsi="微软雅黑" w:eastAsia="微软雅黑"/>
          <w:vertAlign w:val="subscript"/>
          <w:lang w:val="en-US"/>
        </w:rPr>
        <w:t xml:space="preserve"> </w:t>
      </w:r>
      <w:r>
        <w:rPr>
          <w:rFonts w:ascii="微软雅黑" w:hAnsi="微软雅黑" w:eastAsia="微软雅黑"/>
          <w:vertAlign w:val="subscript"/>
          <w:lang w:val="en-US"/>
        </w:rPr>
        <w:t xml:space="preserve"> </w:t>
      </w:r>
      <w:r>
        <w:rPr>
          <w:rFonts w:ascii="微软雅黑" w:hAnsi="微软雅黑" w:eastAsia="微软雅黑"/>
          <w:lang w:val="en-US"/>
        </w:rPr>
        <w:t>——</w:t>
      </w:r>
      <w:r>
        <w:rPr>
          <w:rFonts w:hint="eastAsia" w:ascii="微软雅黑" w:hAnsi="微软雅黑" w:eastAsia="微软雅黑"/>
          <w:lang w:val="en-US"/>
        </w:rPr>
        <w:t>相对风速（m</w:t>
      </w:r>
      <w:r>
        <w:rPr>
          <w:rFonts w:ascii="微软雅黑" w:hAnsi="微软雅黑" w:eastAsia="微软雅黑"/>
          <w:lang w:val="en-US"/>
        </w:rPr>
        <w:t>/s</w:t>
      </w:r>
      <w:r>
        <w:rPr>
          <w:rFonts w:hint="eastAsia" w:ascii="微软雅黑" w:hAnsi="微软雅黑" w:eastAsia="微软雅黑"/>
          <w:lang w:val="en-US"/>
        </w:rPr>
        <w:t>），CFD求解；</w:t>
      </w:r>
    </w:p>
    <w:p w14:paraId="139B1FBD">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P</w:t>
      </w:r>
      <w:r>
        <w:rPr>
          <w:rFonts w:ascii="微软雅黑" w:hAnsi="微软雅黑" w:eastAsia="微软雅黑"/>
          <w:vertAlign w:val="subscript"/>
          <w:lang w:val="en-US"/>
        </w:rPr>
        <w:t xml:space="preserve">a </w:t>
      </w:r>
      <w:r>
        <w:rPr>
          <w:rFonts w:ascii="微软雅黑" w:hAnsi="微软雅黑" w:eastAsia="微软雅黑"/>
          <w:lang w:val="en-US"/>
        </w:rPr>
        <w:t xml:space="preserve"> ——</w:t>
      </w:r>
      <w:r>
        <w:rPr>
          <w:rFonts w:hint="eastAsia" w:ascii="微软雅黑" w:hAnsi="微软雅黑" w:eastAsia="微软雅黑"/>
          <w:lang w:val="en-US"/>
        </w:rPr>
        <w:t>水蒸气分压（Pa）；</w:t>
      </w:r>
    </w:p>
    <w:p w14:paraId="411D5892">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h</w:t>
      </w:r>
      <w:r>
        <w:rPr>
          <w:rFonts w:ascii="微软雅黑" w:hAnsi="微软雅黑" w:eastAsia="微软雅黑"/>
          <w:vertAlign w:val="subscript"/>
          <w:lang w:val="en-US"/>
        </w:rPr>
        <w:t xml:space="preserve">c   </w:t>
      </w:r>
      <w:r>
        <w:rPr>
          <w:rFonts w:ascii="微软雅黑" w:hAnsi="微软雅黑" w:eastAsia="微软雅黑"/>
          <w:lang w:val="en-US"/>
        </w:rPr>
        <w:t>——</w:t>
      </w:r>
      <w:r>
        <w:rPr>
          <w:rFonts w:hint="eastAsia" w:ascii="微软雅黑" w:hAnsi="微软雅黑" w:eastAsia="微软雅黑"/>
          <w:lang w:val="en-US"/>
        </w:rPr>
        <w:t>对流换热系数，可通过计算程序迭代计算得出；</w:t>
      </w:r>
    </w:p>
    <w:p w14:paraId="1DDBBABF">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t</w:t>
      </w:r>
      <w:r>
        <w:rPr>
          <w:rFonts w:ascii="微软雅黑" w:hAnsi="微软雅黑" w:eastAsia="微软雅黑"/>
          <w:vertAlign w:val="subscript"/>
          <w:lang w:val="en-US"/>
        </w:rPr>
        <w:t>cl</w:t>
      </w:r>
      <w:r>
        <w:rPr>
          <w:rFonts w:ascii="微软雅黑" w:hAnsi="微软雅黑" w:eastAsia="微软雅黑"/>
          <w:lang w:val="en-US"/>
        </w:rPr>
        <w:t xml:space="preserve">  ——</w:t>
      </w:r>
      <w:r>
        <w:rPr>
          <w:rFonts w:hint="eastAsia" w:ascii="微软雅黑" w:hAnsi="微软雅黑" w:eastAsia="微软雅黑"/>
          <w:lang w:val="en-US"/>
        </w:rPr>
        <w:t>服装表面温度，可通过计算程序迭代计算得出（℃）；</w:t>
      </w:r>
    </w:p>
    <w:p w14:paraId="119805D6">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说明：其中水蒸气分压也可以用空气相对湿度代替作为输入的参数。</w:t>
      </w:r>
    </w:p>
    <w:p w14:paraId="10248B0F">
      <w:pPr>
        <w:pStyle w:val="5"/>
        <w:spacing w:before="156"/>
        <w:rPr>
          <w:rFonts w:hint="eastAsia"/>
        </w:rPr>
      </w:pPr>
      <w:r>
        <w:t>PPD</w:t>
      </w:r>
      <w:r>
        <w:rPr>
          <w:rFonts w:hint="eastAsia"/>
        </w:rPr>
        <w:t>计算公式</w:t>
      </w:r>
      <w:bookmarkEnd w:id="64"/>
      <w:bookmarkEnd w:id="65"/>
    </w:p>
    <w:p w14:paraId="64F76749">
      <w:pPr>
        <w:pStyle w:val="3"/>
        <w:spacing w:line="400" w:lineRule="exact"/>
        <w:ind w:left="122" w:leftChars="58" w:firstLine="298" w:firstLineChars="0"/>
        <w:rPr>
          <w:rFonts w:hint="eastAsia" w:ascii="微软雅黑" w:hAnsi="微软雅黑" w:eastAsia="微软雅黑"/>
          <w:lang w:val="en-US"/>
        </w:rPr>
      </w:pPr>
      <w:r>
        <w:rPr>
          <w:rFonts w:ascii="微软雅黑" w:hAnsi="微软雅黑" w:eastAsia="微软雅黑"/>
          <w:lang w:val="en-US"/>
        </w:rPr>
        <w:t>PPD</w:t>
      </w:r>
      <w:r>
        <w:rPr>
          <w:rFonts w:hint="eastAsia" w:ascii="微软雅黑" w:hAnsi="微软雅黑" w:eastAsia="微软雅黑"/>
          <w:lang w:val="en-US"/>
        </w:rPr>
        <w:t>为处于热湿环境中的人群对于热湿环境不满意的预计投票平均值，PPD可预测在一给定环境中可能感觉过热或过冷的人的百分数来提供有关热不适或者热不满意的信息。PPD可由PMV得出：</w:t>
      </w:r>
    </w:p>
    <w:p w14:paraId="02423523">
      <w:pPr>
        <w:pStyle w:val="3"/>
        <w:ind w:left="141" w:leftChars="67" w:firstLine="279" w:firstLineChars="0"/>
        <w:rPr>
          <w:lang w:val="en-US"/>
        </w:rPr>
      </w:pPr>
      <m:oMath>
        <m:r>
          <m:rPr>
            <m:sty m:val="p"/>
          </m:rPr>
          <w:rPr>
            <w:rFonts w:ascii="Cambria Math" w:hAnsi="Cambria Math" w:eastAsia="微软雅黑"/>
            <w:lang w:val="en-US"/>
          </w:rPr>
          <m:t>PPD=100−95∙exp⁡(−0.03353∙</m:t>
        </m:r>
        <m:sSup>
          <m:sSupPr>
            <m:ctrlPr>
              <w:rPr>
                <w:rFonts w:ascii="Cambria Math" w:hAnsi="Cambria Math" w:eastAsia="微软雅黑" w:cs="宋体"/>
                <w:sz w:val="24"/>
                <w:szCs w:val="24"/>
              </w:rPr>
            </m:ctrlPr>
          </m:sSupPr>
          <m:e>
            <m:r>
              <m:rPr/>
              <w:rPr>
                <w:rFonts w:ascii="Cambria Math" w:hAnsi="Cambria Math" w:eastAsia="微软雅黑"/>
                <w:lang w:val="en-US"/>
              </w:rPr>
              <m:t>PMV</m:t>
            </m:r>
            <m:ctrlPr>
              <w:rPr>
                <w:rFonts w:ascii="Cambria Math" w:hAnsi="Cambria Math" w:eastAsia="微软雅黑" w:cs="宋体"/>
                <w:sz w:val="24"/>
                <w:szCs w:val="24"/>
              </w:rPr>
            </m:ctrlPr>
          </m:e>
          <m:sup>
            <m:r>
              <m:rPr/>
              <w:rPr>
                <w:rFonts w:ascii="Cambria Math" w:hAnsi="Cambria Math" w:eastAsia="微软雅黑"/>
                <w:lang w:val="en-US"/>
              </w:rPr>
              <m:t>4</m:t>
            </m:r>
            <m:ctrlPr>
              <w:rPr>
                <w:rFonts w:ascii="Cambria Math" w:hAnsi="Cambria Math" w:eastAsia="微软雅黑" w:cs="宋体"/>
                <w:sz w:val="24"/>
                <w:szCs w:val="24"/>
              </w:rPr>
            </m:ctrlPr>
          </m:sup>
        </m:sSup>
        <m:r>
          <m:rPr/>
          <w:rPr>
            <w:rFonts w:ascii="Cambria Math" w:hAnsi="Cambria Math" w:eastAsia="微软雅黑"/>
            <w:lang w:val="en-US"/>
          </w:rPr>
          <m:t>−0.2179∙</m:t>
        </m:r>
        <m:sSup>
          <m:sSupPr>
            <m:ctrlPr>
              <w:rPr>
                <w:rFonts w:ascii="Cambria Math" w:hAnsi="Cambria Math" w:eastAsia="微软雅黑" w:cs="宋体"/>
                <w:i/>
                <w:sz w:val="24"/>
                <w:szCs w:val="24"/>
              </w:rPr>
            </m:ctrlPr>
          </m:sSupPr>
          <m:e>
            <m:r>
              <m:rPr/>
              <w:rPr>
                <w:rFonts w:ascii="Cambria Math" w:hAnsi="Cambria Math" w:eastAsia="微软雅黑"/>
                <w:lang w:val="en-US"/>
              </w:rPr>
              <m:t>PMV</m:t>
            </m:r>
            <m:ctrlPr>
              <w:rPr>
                <w:rFonts w:ascii="Cambria Math" w:hAnsi="Cambria Math" w:eastAsia="微软雅黑" w:cs="宋体"/>
                <w:i/>
                <w:sz w:val="24"/>
                <w:szCs w:val="24"/>
              </w:rPr>
            </m:ctrlPr>
          </m:e>
          <m:sup>
            <m:r>
              <m:rPr/>
              <w:rPr>
                <w:rFonts w:ascii="Cambria Math" w:hAnsi="Cambria Math" w:eastAsia="微软雅黑"/>
                <w:lang w:val="en-US"/>
              </w:rPr>
              <m:t>2</m:t>
            </m:r>
            <m:ctrlPr>
              <w:rPr>
                <w:rFonts w:ascii="Cambria Math" w:hAnsi="Cambria Math" w:eastAsia="微软雅黑" w:cs="宋体"/>
                <w:i/>
                <w:sz w:val="24"/>
                <w:szCs w:val="24"/>
              </w:rPr>
            </m:ctrlPr>
          </m:sup>
        </m:sSup>
        <m:r>
          <m:rPr/>
          <w:rPr>
            <w:rFonts w:ascii="Cambria Math" w:hAnsi="Cambria Math" w:eastAsia="微软雅黑"/>
            <w:lang w:val="en-US"/>
          </w:rPr>
          <m:t>)</m:t>
        </m:r>
      </m:oMath>
      <w:r>
        <w:rPr>
          <w:rFonts w:hint="eastAsia" w:ascii="微软雅黑" w:hAnsi="微软雅黑" w:eastAsia="微软雅黑"/>
          <w:lang w:val="en-US"/>
        </w:rPr>
        <w:t xml:space="preserve">                (5)</w:t>
      </w:r>
    </w:p>
    <w:p w14:paraId="40FD3C7B">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式中：PMV为平均热感觉指数；</w:t>
      </w:r>
    </w:p>
    <w:p w14:paraId="4E062070">
      <w:pPr>
        <w:pStyle w:val="3"/>
        <w:spacing w:line="400" w:lineRule="exact"/>
        <w:ind w:firstLine="630" w:firstLineChars="300"/>
        <w:rPr>
          <w:rFonts w:hint="eastAsia" w:ascii="微软雅黑" w:hAnsi="微软雅黑" w:eastAsia="微软雅黑"/>
          <w:lang w:val="en-US"/>
        </w:rPr>
      </w:pPr>
      <w:r>
        <w:rPr>
          <w:rFonts w:hint="eastAsia" w:ascii="微软雅黑" w:hAnsi="微软雅黑" w:eastAsia="微软雅黑"/>
          <w:lang w:val="en-US"/>
        </w:rPr>
        <w:t xml:space="preserve">  PPD为预计不满意率，%；</w:t>
      </w:r>
    </w:p>
    <w:p w14:paraId="5C174CCA">
      <w:pPr>
        <w:pStyle w:val="3"/>
        <w:ind w:firstLine="1050" w:firstLineChars="500"/>
        <w:rPr>
          <w:lang w:val="en-US"/>
        </w:rPr>
      </w:pPr>
      <w:r>
        <w:rPr>
          <w:lang w:val="en-US"/>
        </w:rPr>
        <w:drawing>
          <wp:inline distT="0" distB="0" distL="0" distR="0">
            <wp:extent cx="4457700" cy="3048000"/>
            <wp:effectExtent l="0" t="0" r="0" b="0"/>
            <wp:docPr id="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2"/>
                    <pic:cNvPicPr>
                      <a:picLocks noChangeAspect="1" noChangeArrowheads="1"/>
                    </pic:cNvPicPr>
                  </pic:nvPicPr>
                  <pic:blipFill>
                    <a:blip r:embed="rId13">
                      <a:extLst>
                        <a:ext uri="{28A0092B-C50C-407E-A947-70E740481C1C}">
                          <a14:useLocalDpi xmlns:a14="http://schemas.microsoft.com/office/drawing/2010/main" val="0"/>
                        </a:ext>
                      </a:extLst>
                    </a:blip>
                    <a:srcRect t="1984"/>
                    <a:stretch>
                      <a:fillRect/>
                    </a:stretch>
                  </pic:blipFill>
                  <pic:spPr>
                    <a:xfrm>
                      <a:off x="0" y="0"/>
                      <a:ext cx="4457700" cy="3048000"/>
                    </a:xfrm>
                    <a:prstGeom prst="rect">
                      <a:avLst/>
                    </a:prstGeom>
                    <a:noFill/>
                    <a:ln>
                      <a:noFill/>
                    </a:ln>
                  </pic:spPr>
                </pic:pic>
              </a:graphicData>
            </a:graphic>
          </wp:inline>
        </w:drawing>
      </w:r>
    </w:p>
    <w:p w14:paraId="04E9D500">
      <w:pPr>
        <w:pStyle w:val="3"/>
        <w:spacing w:line="400" w:lineRule="exact"/>
        <w:ind w:firstLine="1050" w:firstLineChars="500"/>
        <w:rPr>
          <w:rFonts w:hint="eastAsia" w:ascii="微软雅黑" w:hAnsi="微软雅黑" w:eastAsia="微软雅黑"/>
          <w:lang w:val="en-US"/>
        </w:rPr>
      </w:pPr>
      <w:r>
        <w:rPr>
          <w:rFonts w:hint="eastAsia"/>
          <w:lang w:val="en-US"/>
        </w:rPr>
        <w:t xml:space="preserve">                   </w:t>
      </w:r>
      <w:r>
        <w:rPr>
          <w:rFonts w:hint="eastAsia" w:ascii="黑体" w:hAnsi="黑体" w:eastAsia="黑体"/>
          <w:lang w:val="en-US"/>
        </w:rPr>
        <w:t xml:space="preserve">   </w:t>
      </w:r>
      <w:r>
        <w:rPr>
          <w:rFonts w:hint="eastAsia" w:ascii="微软雅黑" w:hAnsi="微软雅黑" w:eastAsia="微软雅黑"/>
          <w:lang w:val="en-US"/>
        </w:rPr>
        <w:t xml:space="preserve">   PPD与PMV的关系</w:t>
      </w:r>
    </w:p>
    <w:p w14:paraId="199D1EE5">
      <w:pPr>
        <w:pStyle w:val="5"/>
        <w:spacing w:before="156"/>
        <w:rPr>
          <w:rFonts w:hint="eastAsia"/>
        </w:rPr>
      </w:pPr>
      <w:bookmarkStart w:id="66" w:name="_Toc44662475"/>
      <w:bookmarkStart w:id="67" w:name="_Toc44772823"/>
      <w:r>
        <w:rPr>
          <w:rFonts w:hint="eastAsia"/>
        </w:rPr>
        <w:t>PMV和PPD达标比例计算</w:t>
      </w:r>
      <w:bookmarkEnd w:id="66"/>
      <w:bookmarkEnd w:id="67"/>
    </w:p>
    <w:p w14:paraId="3BB6EC04">
      <w:pPr>
        <w:spacing w:line="400" w:lineRule="exact"/>
        <w:ind w:firstLine="420"/>
        <w:rPr>
          <w:rFonts w:hint="eastAsia" w:ascii="微软雅黑" w:hAnsi="微软雅黑" w:eastAsia="微软雅黑"/>
          <w:lang w:val="en-US"/>
        </w:rPr>
      </w:pPr>
      <w:r>
        <w:rPr>
          <w:rFonts w:hint="eastAsia" w:ascii="微软雅黑" w:hAnsi="微软雅黑" w:eastAsia="微软雅黑"/>
          <w:lang w:val="en-US"/>
        </w:rPr>
        <w:t>先将室内温度、风速、相对湿度等参数输入，再根据PMV和PPD计算公式获取室内PMV和PPD指标，参考《民用建筑室内热湿环境评价标准》GB/T 50785-2012中的评价方法统计PMV和PPD达标面积比例，最后给出评价结果。</w:t>
      </w:r>
    </w:p>
    <w:p w14:paraId="73893176">
      <w:pPr>
        <w:pStyle w:val="2"/>
        <w:spacing w:before="312"/>
        <w:rPr>
          <w:rFonts w:hint="eastAsia"/>
        </w:rPr>
      </w:pPr>
      <w:bookmarkStart w:id="68" w:name="_Toc30212"/>
      <w:bookmarkStart w:id="69" w:name="_Toc44772824"/>
      <w:r>
        <w:rPr>
          <w:rFonts w:hint="eastAsia"/>
        </w:rPr>
        <w:t>计算参数</w:t>
      </w:r>
      <w:bookmarkEnd w:id="68"/>
      <w:bookmarkEnd w:id="69"/>
    </w:p>
    <w:p w14:paraId="713B7E2A">
      <w:pPr>
        <w:pStyle w:val="3"/>
        <w:tabs>
          <w:tab w:val="left" w:pos="8931"/>
        </w:tabs>
        <w:spacing w:line="400" w:lineRule="exact"/>
        <w:ind w:firstLine="420"/>
        <w:rPr>
          <w:rFonts w:hint="eastAsia" w:ascii="微软雅黑" w:hAnsi="微软雅黑" w:eastAsia="微软雅黑"/>
          <w:lang w:val="en-US"/>
        </w:rPr>
      </w:pPr>
      <w:r>
        <w:rPr>
          <w:rFonts w:hint="eastAsia" w:ascii="微软雅黑" w:hAnsi="微软雅黑" w:eastAsia="微软雅黑"/>
          <w:lang w:val="en-US"/>
        </w:rPr>
        <w:t>本项目供冷工况采用</w:t>
      </w:r>
      <w:bookmarkStart w:id="70" w:name="夏季暖通空调形式"/>
      <w:bookmarkStart w:id="71" w:name="暖通空调形式"/>
      <w:r>
        <w:rPr>
          <w:rFonts w:hint="eastAsia" w:ascii="微软雅黑" w:hAnsi="微软雅黑" w:eastAsia="微软雅黑"/>
          <w:lang w:val="en-US"/>
        </w:rPr>
        <w:t>分散式空调</w:t>
      </w:r>
      <w:bookmarkEnd w:id="70"/>
      <w:bookmarkEnd w:id="71"/>
      <w:r>
        <w:rPr>
          <w:rFonts w:hint="eastAsia" w:ascii="微软雅黑" w:hAnsi="微软雅黑" w:eastAsia="微软雅黑"/>
          <w:lang w:val="en-US"/>
        </w:rPr>
        <w:t>方式供冷，供暖工况采用</w:t>
      </w:r>
      <w:bookmarkStart w:id="72" w:name="冬季暖通空调形式"/>
      <w:r>
        <w:rPr>
          <w:rFonts w:hint="eastAsia" w:ascii="微软雅黑" w:hAnsi="微软雅黑" w:eastAsia="微软雅黑"/>
          <w:lang w:val="en-US"/>
        </w:rPr>
        <w:t>分散式空调</w:t>
      </w:r>
      <w:bookmarkEnd w:id="72"/>
      <w:r>
        <w:rPr>
          <w:rFonts w:hint="eastAsia" w:ascii="微软雅黑" w:hAnsi="微软雅黑" w:eastAsia="微软雅黑"/>
          <w:lang w:val="en-US"/>
        </w:rPr>
        <w:t>方式供暖。该项目所有参评房间均基于</w:t>
      </w:r>
      <w:r>
        <w:rPr>
          <w:rFonts w:ascii="微软雅黑" w:hAnsi="微软雅黑" w:eastAsia="微软雅黑"/>
          <w:lang w:val="en-US"/>
        </w:rPr>
        <w:t>以下参数计算</w:t>
      </w:r>
      <w:r>
        <w:rPr>
          <w:rFonts w:hint="eastAsia" w:ascii="微软雅黑" w:hAnsi="微软雅黑" w:eastAsia="微软雅黑"/>
          <w:lang w:val="en-US"/>
        </w:rPr>
        <w:t>室内热湿环境评价指标PMV和PPD：</w:t>
      </w:r>
    </w:p>
    <w:p w14:paraId="12640CAB">
      <w:pPr>
        <w:pStyle w:val="3"/>
        <w:tabs>
          <w:tab w:val="left" w:pos="8931"/>
        </w:tabs>
        <w:spacing w:after="156" w:afterLines="50" w:line="400" w:lineRule="exact"/>
        <w:ind w:firstLine="0" w:firstLineChars="0"/>
        <w:jc w:val="center"/>
        <w:rPr>
          <w:rFonts w:hint="eastAsia" w:ascii="微软雅黑" w:hAnsi="微软雅黑" w:eastAsia="微软雅黑"/>
          <w:sz w:val="18"/>
          <w:szCs w:val="18"/>
          <w:lang w:val="en-US"/>
        </w:rPr>
      </w:pPr>
      <w:r>
        <w:rPr>
          <w:rFonts w:hint="eastAsia" w:ascii="微软雅黑" w:hAnsi="微软雅黑" w:eastAsia="微软雅黑" w:cs="宋体"/>
          <w:b/>
          <w:bCs/>
          <w:color w:val="333333"/>
          <w:sz w:val="18"/>
          <w:szCs w:val="18"/>
          <w:lang w:val="en-US"/>
        </w:rPr>
        <w:t>表5.1    PMV-PPD计算参数</w:t>
      </w:r>
    </w:p>
    <w:tbl>
      <w:tblPr>
        <w:tblStyle w:val="22"/>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778"/>
        <w:gridCol w:w="895"/>
        <w:gridCol w:w="1035"/>
        <w:gridCol w:w="1421"/>
        <w:gridCol w:w="1183"/>
        <w:gridCol w:w="1184"/>
        <w:gridCol w:w="1169"/>
      </w:tblGrid>
      <w:tr w14:paraId="1F99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E6E6E6"/>
          </w:tcPr>
          <w:p w14:paraId="2346B5E5">
            <w:pPr>
              <w:pStyle w:val="3"/>
              <w:spacing w:line="280" w:lineRule="exact"/>
              <w:ind w:firstLine="0" w:firstLineChars="0"/>
              <w:jc w:val="center"/>
              <w:rPr>
                <w:rFonts w:hint="eastAsia" w:ascii="微软雅黑" w:hAnsi="微软雅黑" w:eastAsia="微软雅黑"/>
                <w:b/>
                <w:sz w:val="18"/>
                <w:szCs w:val="18"/>
              </w:rPr>
            </w:pPr>
            <w:bookmarkStart w:id="73" w:name="_Hlk207976214"/>
            <w:bookmarkStart w:id="74" w:name="计算工况表" w:colFirst="0" w:colLast="8"/>
            <w:r>
              <w:rPr>
                <w:rFonts w:hint="eastAsia" w:ascii="微软雅黑" w:hAnsi="微软雅黑" w:eastAsia="微软雅黑"/>
                <w:b/>
                <w:sz w:val="18"/>
                <w:szCs w:val="18"/>
              </w:rPr>
              <w:t>工况</w:t>
            </w:r>
          </w:p>
        </w:tc>
        <w:tc>
          <w:tcPr>
            <w:tcW w:w="778" w:type="dxa"/>
            <w:shd w:val="clear" w:color="auto" w:fill="E6E6E6"/>
            <w:vAlign w:val="center"/>
          </w:tcPr>
          <w:p w14:paraId="6ABCC763">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温度</w:t>
            </w:r>
          </w:p>
          <w:p w14:paraId="673A1FD1">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w:t>
            </w:r>
            <w:r>
              <w:rPr>
                <w:rFonts w:ascii="微软雅黑" w:hAnsi="微软雅黑" w:eastAsia="微软雅黑"/>
                <w:b/>
                <w:sz w:val="18"/>
                <w:szCs w:val="18"/>
              </w:rPr>
              <w:t>)</w:t>
            </w:r>
          </w:p>
        </w:tc>
        <w:tc>
          <w:tcPr>
            <w:tcW w:w="895" w:type="dxa"/>
            <w:shd w:val="clear" w:color="auto" w:fill="E6E6E6"/>
            <w:vAlign w:val="center"/>
          </w:tcPr>
          <w:p w14:paraId="3BE3829F">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风速</w:t>
            </w:r>
          </w:p>
          <w:p w14:paraId="2216E49B">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w:t>
            </w:r>
            <w:r>
              <w:rPr>
                <w:rFonts w:ascii="微软雅黑" w:hAnsi="微软雅黑" w:eastAsia="微软雅黑"/>
                <w:b/>
                <w:sz w:val="18"/>
                <w:szCs w:val="18"/>
              </w:rPr>
              <w:t>)</w:t>
            </w:r>
          </w:p>
        </w:tc>
        <w:tc>
          <w:tcPr>
            <w:tcW w:w="1035" w:type="dxa"/>
            <w:shd w:val="clear" w:color="auto" w:fill="E6E6E6"/>
            <w:vAlign w:val="center"/>
          </w:tcPr>
          <w:p w14:paraId="634CD5CA">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相对湿度</w:t>
            </w:r>
          </w:p>
          <w:p w14:paraId="15B28B2A">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w:t>
            </w:r>
            <w:r>
              <w:rPr>
                <w:rFonts w:ascii="微软雅黑" w:hAnsi="微软雅黑" w:eastAsia="微软雅黑"/>
                <w:b/>
                <w:sz w:val="18"/>
                <w:szCs w:val="18"/>
              </w:rPr>
              <w:t>)</w:t>
            </w:r>
          </w:p>
        </w:tc>
        <w:tc>
          <w:tcPr>
            <w:tcW w:w="1421" w:type="dxa"/>
            <w:shd w:val="clear" w:color="auto" w:fill="E6E6E6"/>
            <w:vAlign w:val="center"/>
          </w:tcPr>
          <w:p w14:paraId="7D91897E">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平均辐射温度</w:t>
            </w:r>
          </w:p>
          <w:p w14:paraId="5354B2AA">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met</w:t>
            </w:r>
            <w:r>
              <w:rPr>
                <w:rFonts w:ascii="微软雅黑" w:hAnsi="微软雅黑" w:eastAsia="微软雅黑"/>
                <w:b/>
                <w:sz w:val="18"/>
                <w:szCs w:val="18"/>
              </w:rPr>
              <w:t>)</w:t>
            </w:r>
          </w:p>
        </w:tc>
        <w:tc>
          <w:tcPr>
            <w:tcW w:w="1183" w:type="dxa"/>
            <w:shd w:val="clear" w:color="auto" w:fill="E6E6E6"/>
            <w:vAlign w:val="center"/>
          </w:tcPr>
          <w:p w14:paraId="73570264">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人体代谢</w:t>
            </w:r>
          </w:p>
          <w:p w14:paraId="6C039FFA">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met</w:t>
            </w:r>
            <w:r>
              <w:rPr>
                <w:rFonts w:ascii="微软雅黑" w:hAnsi="微软雅黑" w:eastAsia="微软雅黑"/>
                <w:b/>
                <w:sz w:val="18"/>
                <w:szCs w:val="18"/>
              </w:rPr>
              <w:t>)</w:t>
            </w:r>
          </w:p>
        </w:tc>
        <w:tc>
          <w:tcPr>
            <w:tcW w:w="1184" w:type="dxa"/>
            <w:shd w:val="clear" w:color="auto" w:fill="E6E6E6"/>
            <w:vAlign w:val="center"/>
          </w:tcPr>
          <w:p w14:paraId="621D1827">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对外做功</w:t>
            </w:r>
          </w:p>
          <w:p w14:paraId="11348463">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met</w:t>
            </w:r>
            <w:r>
              <w:rPr>
                <w:rFonts w:ascii="微软雅黑" w:hAnsi="微软雅黑" w:eastAsia="微软雅黑"/>
                <w:b/>
                <w:sz w:val="18"/>
                <w:szCs w:val="18"/>
              </w:rPr>
              <w:t>)</w:t>
            </w:r>
          </w:p>
        </w:tc>
        <w:tc>
          <w:tcPr>
            <w:tcW w:w="1169" w:type="dxa"/>
            <w:shd w:val="clear" w:color="auto" w:fill="E6E6E6"/>
            <w:vAlign w:val="center"/>
          </w:tcPr>
          <w:p w14:paraId="26C772E1">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服装热阻</w:t>
            </w:r>
          </w:p>
          <w:p w14:paraId="4C8EDBF5">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clo</w:t>
            </w:r>
            <w:r>
              <w:rPr>
                <w:rFonts w:ascii="微软雅黑" w:hAnsi="微软雅黑" w:eastAsia="微软雅黑"/>
                <w:b/>
                <w:sz w:val="18"/>
                <w:szCs w:val="18"/>
              </w:rPr>
              <w:t>)</w:t>
            </w:r>
          </w:p>
        </w:tc>
      </w:tr>
      <w:bookmarkEnd w:id="73"/>
      <w:tr w14:paraId="0C9D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Pr>
          <w:p w14:paraId="512DCA37">
            <w:pPr>
              <w:pStyle w:val="3"/>
              <w:spacing w:line="280" w:lineRule="exact"/>
              <w:ind w:firstLine="0" w:firstLineChars="0"/>
              <w:jc w:val="center"/>
              <w:rPr>
                <w:rFonts w:hint="eastAsia" w:ascii="微软雅黑" w:hAnsi="微软雅黑" w:eastAsia="微软雅黑"/>
                <w:sz w:val="18"/>
                <w:szCs w:val="18"/>
              </w:rPr>
            </w:pPr>
            <w:r>
              <w:rPr>
                <w:rFonts w:hint="eastAsia" w:ascii="微软雅黑" w:hAnsi="微软雅黑" w:eastAsia="微软雅黑"/>
                <w:sz w:val="18"/>
                <w:szCs w:val="18"/>
              </w:rPr>
              <w:t>供暖</w:t>
            </w:r>
          </w:p>
        </w:tc>
        <w:tc>
          <w:tcPr>
            <w:tcW w:w="778" w:type="dxa"/>
            <w:vAlign w:val="center"/>
          </w:tcPr>
          <w:p w14:paraId="64B38FEC">
            <w:pPr>
              <w:pStyle w:val="3"/>
              <w:spacing w:line="280" w:lineRule="exact"/>
              <w:ind w:firstLine="0" w:firstLineChars="0"/>
              <w:jc w:val="center"/>
              <w:rPr>
                <w:rFonts w:hint="eastAsia" w:ascii="微软雅黑" w:hAnsi="微软雅黑" w:eastAsia="微软雅黑"/>
                <w:sz w:val="18"/>
                <w:szCs w:val="18"/>
              </w:rPr>
            </w:pPr>
            <w:bookmarkStart w:id="75" w:name="温度"/>
            <w:bookmarkStart w:id="76" w:name="供暖期温度"/>
            <w:r>
              <w:t>20.00</w:t>
            </w:r>
            <w:bookmarkEnd w:id="75"/>
            <w:bookmarkEnd w:id="76"/>
          </w:p>
        </w:tc>
        <w:tc>
          <w:tcPr>
            <w:tcW w:w="895" w:type="dxa"/>
          </w:tcPr>
          <w:p w14:paraId="57A538CF">
            <w:pPr>
              <w:pStyle w:val="3"/>
              <w:spacing w:line="280" w:lineRule="exact"/>
              <w:ind w:firstLine="0" w:firstLineChars="0"/>
              <w:jc w:val="center"/>
              <w:rPr>
                <w:rFonts w:hint="eastAsia" w:ascii="微软雅黑" w:hAnsi="微软雅黑" w:eastAsia="微软雅黑"/>
                <w:sz w:val="18"/>
                <w:szCs w:val="18"/>
              </w:rPr>
            </w:pPr>
            <w:bookmarkStart w:id="77" w:name="供暖期风速"/>
            <w:bookmarkStart w:id="78" w:name="风速"/>
            <w:r>
              <w:t>0.10</w:t>
            </w:r>
            <w:bookmarkEnd w:id="77"/>
            <w:bookmarkEnd w:id="78"/>
          </w:p>
        </w:tc>
        <w:tc>
          <w:tcPr>
            <w:tcW w:w="1035" w:type="dxa"/>
          </w:tcPr>
          <w:p w14:paraId="78814280">
            <w:pPr>
              <w:pStyle w:val="3"/>
              <w:spacing w:line="280" w:lineRule="exact"/>
              <w:ind w:left="-733" w:leftChars="-349" w:firstLine="942" w:firstLineChars="449"/>
              <w:jc w:val="center"/>
              <w:rPr>
                <w:rFonts w:hint="eastAsia" w:ascii="微软雅黑" w:hAnsi="微软雅黑" w:eastAsia="微软雅黑"/>
                <w:sz w:val="18"/>
                <w:szCs w:val="18"/>
              </w:rPr>
            </w:pPr>
            <w:bookmarkStart w:id="79" w:name="相对湿度"/>
            <w:bookmarkStart w:id="80" w:name="供暖期相对湿度"/>
            <w:r>
              <w:t>40.0</w:t>
            </w:r>
            <w:bookmarkEnd w:id="79"/>
            <w:bookmarkEnd w:id="80"/>
          </w:p>
        </w:tc>
        <w:tc>
          <w:tcPr>
            <w:tcW w:w="1421" w:type="dxa"/>
          </w:tcPr>
          <w:p w14:paraId="11E11885">
            <w:pPr>
              <w:pStyle w:val="3"/>
              <w:spacing w:line="280" w:lineRule="exact"/>
              <w:ind w:firstLine="0" w:firstLineChars="0"/>
              <w:jc w:val="center"/>
              <w:rPr>
                <w:rFonts w:hint="eastAsia" w:ascii="微软雅黑" w:hAnsi="微软雅黑" w:eastAsia="微软雅黑"/>
                <w:sz w:val="18"/>
                <w:szCs w:val="18"/>
              </w:rPr>
            </w:pPr>
            <w:bookmarkStart w:id="81" w:name="平均辐射温度"/>
            <w:bookmarkStart w:id="82" w:name="供暖期平均辐射温度"/>
            <w:r>
              <w:t>20.00</w:t>
            </w:r>
            <w:bookmarkEnd w:id="81"/>
            <w:bookmarkEnd w:id="82"/>
          </w:p>
        </w:tc>
        <w:tc>
          <w:tcPr>
            <w:tcW w:w="1183" w:type="dxa"/>
          </w:tcPr>
          <w:p w14:paraId="03766F13">
            <w:pPr>
              <w:pStyle w:val="3"/>
              <w:spacing w:line="280" w:lineRule="exact"/>
              <w:ind w:firstLine="0" w:firstLineChars="0"/>
              <w:jc w:val="center"/>
              <w:rPr>
                <w:rFonts w:hint="eastAsia" w:ascii="微软雅黑" w:hAnsi="微软雅黑" w:eastAsia="微软雅黑"/>
                <w:sz w:val="18"/>
                <w:szCs w:val="18"/>
              </w:rPr>
            </w:pPr>
            <w:bookmarkStart w:id="83" w:name="人体代谢"/>
            <w:bookmarkStart w:id="84" w:name="供暖期人体代谢"/>
            <w:r>
              <w:t>1.20</w:t>
            </w:r>
            <w:bookmarkEnd w:id="83"/>
            <w:bookmarkEnd w:id="84"/>
          </w:p>
        </w:tc>
        <w:tc>
          <w:tcPr>
            <w:tcW w:w="1184" w:type="dxa"/>
          </w:tcPr>
          <w:p w14:paraId="718FEDB0">
            <w:pPr>
              <w:pStyle w:val="3"/>
              <w:spacing w:line="280" w:lineRule="exact"/>
              <w:ind w:firstLine="0" w:firstLineChars="0"/>
              <w:jc w:val="center"/>
              <w:rPr>
                <w:rFonts w:hint="eastAsia" w:ascii="微软雅黑" w:hAnsi="微软雅黑" w:eastAsia="微软雅黑"/>
                <w:sz w:val="18"/>
                <w:szCs w:val="18"/>
              </w:rPr>
            </w:pPr>
            <w:bookmarkStart w:id="85" w:name="对外做功"/>
            <w:bookmarkStart w:id="86" w:name="供暖期对外做功"/>
            <w:r>
              <w:t>0.00</w:t>
            </w:r>
            <w:bookmarkEnd w:id="85"/>
            <w:bookmarkEnd w:id="86"/>
          </w:p>
        </w:tc>
        <w:tc>
          <w:tcPr>
            <w:tcW w:w="1169" w:type="dxa"/>
          </w:tcPr>
          <w:p w14:paraId="399E6536">
            <w:pPr>
              <w:pStyle w:val="3"/>
              <w:spacing w:line="280" w:lineRule="exact"/>
              <w:ind w:firstLine="0" w:firstLineChars="0"/>
              <w:jc w:val="center"/>
              <w:rPr>
                <w:rFonts w:hint="eastAsia" w:ascii="微软雅黑" w:hAnsi="微软雅黑" w:eastAsia="微软雅黑"/>
                <w:sz w:val="18"/>
                <w:szCs w:val="18"/>
              </w:rPr>
            </w:pPr>
            <w:bookmarkStart w:id="87" w:name="供暖期服装热阻"/>
            <w:bookmarkStart w:id="88" w:name="服装热阻"/>
            <w:r>
              <w:t>1.20</w:t>
            </w:r>
            <w:bookmarkEnd w:id="87"/>
            <w:bookmarkEnd w:id="88"/>
          </w:p>
        </w:tc>
      </w:tr>
      <w:tr w14:paraId="7D81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Pr>
          <w:p w14:paraId="13661719">
            <w:pPr>
              <w:pStyle w:val="3"/>
              <w:spacing w:line="280" w:lineRule="exact"/>
              <w:ind w:firstLine="0" w:firstLineChars="0"/>
              <w:jc w:val="center"/>
              <w:rPr>
                <w:rFonts w:hint="eastAsia" w:ascii="微软雅黑" w:hAnsi="微软雅黑" w:eastAsia="微软雅黑"/>
                <w:sz w:val="18"/>
                <w:szCs w:val="18"/>
              </w:rPr>
            </w:pPr>
            <w:r>
              <w:rPr>
                <w:rFonts w:hint="eastAsia" w:ascii="微软雅黑" w:hAnsi="微软雅黑" w:eastAsia="微软雅黑"/>
                <w:sz w:val="18"/>
                <w:szCs w:val="18"/>
              </w:rPr>
              <w:t>供冷</w:t>
            </w:r>
          </w:p>
        </w:tc>
        <w:tc>
          <w:tcPr>
            <w:tcW w:w="778" w:type="dxa"/>
            <w:vAlign w:val="center"/>
          </w:tcPr>
          <w:p w14:paraId="4E90CD42">
            <w:pPr>
              <w:pStyle w:val="3"/>
              <w:spacing w:line="280" w:lineRule="exact"/>
              <w:ind w:firstLine="0" w:firstLineChars="0"/>
              <w:jc w:val="center"/>
              <w:rPr>
                <w:rFonts w:hint="eastAsia" w:ascii="微软雅黑" w:hAnsi="微软雅黑" w:eastAsia="微软雅黑"/>
                <w:sz w:val="18"/>
                <w:szCs w:val="18"/>
              </w:rPr>
            </w:pPr>
            <w:bookmarkStart w:id="89" w:name="供冷期温度"/>
            <w:r>
              <w:t>26.00</w:t>
            </w:r>
            <w:bookmarkEnd w:id="89"/>
          </w:p>
        </w:tc>
        <w:tc>
          <w:tcPr>
            <w:tcW w:w="895" w:type="dxa"/>
          </w:tcPr>
          <w:p w14:paraId="241F3924">
            <w:pPr>
              <w:pStyle w:val="3"/>
              <w:spacing w:line="280" w:lineRule="exact"/>
              <w:ind w:firstLine="0" w:firstLineChars="0"/>
              <w:jc w:val="center"/>
              <w:rPr>
                <w:rFonts w:hint="eastAsia" w:ascii="微软雅黑" w:hAnsi="微软雅黑" w:eastAsia="微软雅黑"/>
                <w:sz w:val="18"/>
                <w:szCs w:val="18"/>
              </w:rPr>
            </w:pPr>
            <w:bookmarkStart w:id="90" w:name="供冷期风速"/>
            <w:r>
              <w:t>0.10</w:t>
            </w:r>
            <w:bookmarkEnd w:id="90"/>
          </w:p>
        </w:tc>
        <w:tc>
          <w:tcPr>
            <w:tcW w:w="1035" w:type="dxa"/>
          </w:tcPr>
          <w:p w14:paraId="5CDFDD96">
            <w:pPr>
              <w:pStyle w:val="3"/>
              <w:spacing w:line="280" w:lineRule="exact"/>
              <w:ind w:left="-733" w:leftChars="-349" w:firstLine="942" w:firstLineChars="449"/>
              <w:jc w:val="center"/>
              <w:rPr>
                <w:rFonts w:hint="eastAsia" w:ascii="微软雅黑" w:hAnsi="微软雅黑" w:eastAsia="微软雅黑"/>
                <w:sz w:val="18"/>
                <w:szCs w:val="18"/>
              </w:rPr>
            </w:pPr>
            <w:bookmarkStart w:id="91" w:name="供冷期相对湿度"/>
            <w:r>
              <w:t>50.0</w:t>
            </w:r>
            <w:bookmarkEnd w:id="91"/>
          </w:p>
        </w:tc>
        <w:tc>
          <w:tcPr>
            <w:tcW w:w="1421" w:type="dxa"/>
          </w:tcPr>
          <w:p w14:paraId="1344B696">
            <w:pPr>
              <w:pStyle w:val="3"/>
              <w:spacing w:line="280" w:lineRule="exact"/>
              <w:ind w:firstLine="0" w:firstLineChars="0"/>
              <w:jc w:val="center"/>
              <w:rPr>
                <w:rFonts w:hint="eastAsia" w:ascii="微软雅黑" w:hAnsi="微软雅黑" w:eastAsia="微软雅黑"/>
                <w:sz w:val="18"/>
                <w:szCs w:val="18"/>
              </w:rPr>
            </w:pPr>
            <w:bookmarkStart w:id="92" w:name="供冷期平均辐射温度"/>
            <w:r>
              <w:t>26.00</w:t>
            </w:r>
            <w:bookmarkEnd w:id="92"/>
          </w:p>
        </w:tc>
        <w:tc>
          <w:tcPr>
            <w:tcW w:w="1183" w:type="dxa"/>
          </w:tcPr>
          <w:p w14:paraId="4E1D4BF8">
            <w:pPr>
              <w:pStyle w:val="3"/>
              <w:spacing w:line="280" w:lineRule="exact"/>
              <w:ind w:firstLine="0" w:firstLineChars="0"/>
              <w:jc w:val="center"/>
              <w:rPr>
                <w:rFonts w:hint="eastAsia" w:ascii="微软雅黑" w:hAnsi="微软雅黑" w:eastAsia="微软雅黑"/>
                <w:sz w:val="18"/>
                <w:szCs w:val="18"/>
              </w:rPr>
            </w:pPr>
            <w:bookmarkStart w:id="93" w:name="供冷期人体代谢"/>
            <w:r>
              <w:t>1.20</w:t>
            </w:r>
            <w:bookmarkEnd w:id="93"/>
          </w:p>
        </w:tc>
        <w:tc>
          <w:tcPr>
            <w:tcW w:w="1184" w:type="dxa"/>
          </w:tcPr>
          <w:p w14:paraId="54F83AC4">
            <w:pPr>
              <w:pStyle w:val="3"/>
              <w:spacing w:line="280" w:lineRule="exact"/>
              <w:ind w:firstLine="0" w:firstLineChars="0"/>
              <w:jc w:val="center"/>
              <w:rPr>
                <w:rFonts w:hint="eastAsia" w:ascii="微软雅黑" w:hAnsi="微软雅黑" w:eastAsia="微软雅黑"/>
                <w:sz w:val="18"/>
                <w:szCs w:val="18"/>
              </w:rPr>
            </w:pPr>
            <w:bookmarkStart w:id="94" w:name="供冷期对外做功"/>
            <w:r>
              <w:t>0.00</w:t>
            </w:r>
            <w:bookmarkEnd w:id="94"/>
          </w:p>
        </w:tc>
        <w:tc>
          <w:tcPr>
            <w:tcW w:w="1169" w:type="dxa"/>
          </w:tcPr>
          <w:p w14:paraId="51F34A98">
            <w:pPr>
              <w:pStyle w:val="3"/>
              <w:spacing w:line="280" w:lineRule="exact"/>
              <w:ind w:firstLine="0" w:firstLineChars="0"/>
              <w:jc w:val="center"/>
              <w:rPr>
                <w:rFonts w:hint="eastAsia" w:ascii="微软雅黑" w:hAnsi="微软雅黑" w:eastAsia="微软雅黑"/>
                <w:sz w:val="18"/>
                <w:szCs w:val="18"/>
              </w:rPr>
            </w:pPr>
            <w:bookmarkStart w:id="95" w:name="供冷期服装热阻"/>
            <w:r>
              <w:t>0.60</w:t>
            </w:r>
            <w:bookmarkEnd w:id="95"/>
          </w:p>
        </w:tc>
      </w:tr>
      <w:bookmarkEnd w:id="74"/>
    </w:tbl>
    <w:p w14:paraId="6AD01C2A">
      <w:pPr>
        <w:pStyle w:val="2"/>
        <w:spacing w:before="312"/>
        <w:rPr>
          <w:rFonts w:hint="eastAsia"/>
        </w:rPr>
      </w:pPr>
      <w:bookmarkStart w:id="96" w:name="_Toc44772825"/>
      <w:bookmarkStart w:id="97" w:name="_Toc1999"/>
      <w:r>
        <w:rPr>
          <w:rFonts w:hint="eastAsia"/>
        </w:rPr>
        <w:t>计算结果</w:t>
      </w:r>
      <w:bookmarkEnd w:id="96"/>
      <w:bookmarkEnd w:id="97"/>
    </w:p>
    <w:p w14:paraId="4CD569AC">
      <w:pPr>
        <w:pStyle w:val="4"/>
        <w:spacing w:before="156"/>
        <w:rPr>
          <w:rFonts w:hint="eastAsia"/>
        </w:rPr>
      </w:pPr>
      <w:bookmarkStart w:id="98" w:name="_Toc44772826"/>
      <w:bookmarkStart w:id="99" w:name="_Toc8740"/>
      <w:r>
        <w:rPr>
          <w:rFonts w:hint="eastAsia"/>
        </w:rPr>
        <w:t>PMV-PPD指标</w:t>
      </w:r>
      <w:bookmarkEnd w:id="98"/>
      <w:bookmarkEnd w:id="99"/>
    </w:p>
    <w:p w14:paraId="3243D369">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《民用建筑室内热湿环境评价标准》GB/T 50785-2012中给出如下评价标准。软件依据该标准对各个主要功能房间进行PMV以及PPD的达标面积统计，并且依据《绿色建筑评价技术细则》按照主要功能房间面积加权平均计算得出建筑的PMV-PPD整体评价结果。</w:t>
      </w:r>
    </w:p>
    <w:p w14:paraId="6F123A82">
      <w:pPr>
        <w:pStyle w:val="3"/>
        <w:spacing w:before="156" w:beforeLines="50" w:line="400" w:lineRule="exact"/>
        <w:ind w:firstLine="169" w:firstLineChars="94"/>
        <w:jc w:val="center"/>
        <w:rPr>
          <w:rFonts w:hint="eastAsia" w:ascii="微软雅黑" w:hAnsi="微软雅黑" w:eastAsia="微软雅黑" w:cs="宋体"/>
          <w:b/>
          <w:bCs/>
          <w:color w:val="333333"/>
          <w:sz w:val="18"/>
          <w:szCs w:val="18"/>
          <w:lang w:val="en-US"/>
        </w:rPr>
      </w:pPr>
      <w:r>
        <w:rPr>
          <w:rFonts w:hint="eastAsia" w:ascii="微软雅黑" w:hAnsi="微软雅黑" w:eastAsia="微软雅黑" w:cs="宋体"/>
          <w:b/>
          <w:bCs/>
          <w:color w:val="333333"/>
          <w:sz w:val="18"/>
          <w:szCs w:val="18"/>
          <w:lang w:val="en-US"/>
        </w:rPr>
        <w:t>表6.1   PMV-PPD整体评价指标</w:t>
      </w:r>
    </w:p>
    <w:tbl>
      <w:tblPr>
        <w:tblStyle w:val="22"/>
        <w:tblW w:w="8427" w:type="dxa"/>
        <w:tblInd w:w="108" w:type="dxa"/>
        <w:tblLayout w:type="autofit"/>
        <w:tblCellMar>
          <w:top w:w="0" w:type="dxa"/>
          <w:left w:w="108" w:type="dxa"/>
          <w:bottom w:w="0" w:type="dxa"/>
          <w:right w:w="108" w:type="dxa"/>
        </w:tblCellMar>
      </w:tblPr>
      <w:tblGrid>
        <w:gridCol w:w="1276"/>
        <w:gridCol w:w="2190"/>
        <w:gridCol w:w="4961"/>
      </w:tblGrid>
      <w:tr w14:paraId="680DD5B3">
        <w:tblPrEx>
          <w:tblCellMar>
            <w:top w:w="0" w:type="dxa"/>
            <w:left w:w="108" w:type="dxa"/>
            <w:bottom w:w="0" w:type="dxa"/>
            <w:right w:w="108" w:type="dxa"/>
          </w:tblCellMar>
        </w:tblPrEx>
        <w:trPr>
          <w:trHeight w:val="285" w:hRule="atLeast"/>
        </w:trPr>
        <w:tc>
          <w:tcPr>
            <w:tcW w:w="1276"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95B857D">
            <w:pPr>
              <w:tabs>
                <w:tab w:val="left" w:pos="0"/>
              </w:tabs>
              <w:spacing w:line="400" w:lineRule="exact"/>
              <w:ind w:hanging="2"/>
              <w:jc w:val="center"/>
              <w:rPr>
                <w:rFonts w:hint="eastAsia" w:ascii="微软雅黑" w:hAnsi="微软雅黑" w:eastAsia="微软雅黑"/>
                <w:b/>
                <w:sz w:val="18"/>
                <w:szCs w:val="18"/>
              </w:rPr>
            </w:pPr>
            <w:r>
              <w:rPr>
                <w:rFonts w:ascii="微软雅黑" w:hAnsi="微软雅黑" w:eastAsia="微软雅黑"/>
                <w:b/>
                <w:sz w:val="18"/>
                <w:szCs w:val="18"/>
              </w:rPr>
              <w:t>等级</w:t>
            </w:r>
          </w:p>
        </w:tc>
        <w:tc>
          <w:tcPr>
            <w:tcW w:w="7151" w:type="dxa"/>
            <w:gridSpan w:val="2"/>
            <w:tcBorders>
              <w:top w:val="single" w:color="auto" w:sz="4" w:space="0"/>
              <w:left w:val="nil"/>
              <w:bottom w:val="single" w:color="auto" w:sz="4" w:space="0"/>
              <w:right w:val="single" w:color="auto" w:sz="4" w:space="0"/>
            </w:tcBorders>
            <w:shd w:val="clear" w:color="auto" w:fill="D0CECE" w:themeFill="background2" w:themeFillShade="E6"/>
            <w:vAlign w:val="center"/>
          </w:tcPr>
          <w:p w14:paraId="371CD46B">
            <w:pPr>
              <w:tabs>
                <w:tab w:val="left" w:pos="0"/>
              </w:tabs>
              <w:spacing w:line="400" w:lineRule="exact"/>
              <w:jc w:val="center"/>
              <w:rPr>
                <w:rFonts w:hint="eastAsia" w:ascii="微软雅黑" w:hAnsi="微软雅黑" w:eastAsia="微软雅黑"/>
                <w:b/>
                <w:sz w:val="18"/>
                <w:szCs w:val="18"/>
              </w:rPr>
            </w:pPr>
            <w:r>
              <w:rPr>
                <w:rFonts w:ascii="微软雅黑" w:hAnsi="微软雅黑" w:eastAsia="微软雅黑"/>
                <w:b/>
                <w:sz w:val="18"/>
                <w:szCs w:val="18"/>
              </w:rPr>
              <w:t>整体评价指标</w:t>
            </w:r>
          </w:p>
        </w:tc>
      </w:tr>
      <w:tr w14:paraId="0CA7AA44">
        <w:tblPrEx>
          <w:tblCellMar>
            <w:top w:w="0" w:type="dxa"/>
            <w:left w:w="108" w:type="dxa"/>
            <w:bottom w:w="0" w:type="dxa"/>
            <w:right w:w="108" w:type="dxa"/>
          </w:tblCellMar>
        </w:tblPrEx>
        <w:trPr>
          <w:trHeight w:val="285" w:hRule="atLeast"/>
        </w:trPr>
        <w:tc>
          <w:tcPr>
            <w:tcW w:w="1276" w:type="dxa"/>
            <w:tcBorders>
              <w:top w:val="single" w:color="auto" w:sz="4" w:space="0"/>
              <w:left w:val="single" w:color="auto" w:sz="4" w:space="0"/>
              <w:bottom w:val="single" w:color="auto" w:sz="4" w:space="0"/>
              <w:right w:val="single" w:color="auto" w:sz="4" w:space="0"/>
            </w:tcBorders>
            <w:vAlign w:val="center"/>
          </w:tcPr>
          <w:p w14:paraId="75CC2325">
            <w:pPr>
              <w:tabs>
                <w:tab w:val="left" w:pos="0"/>
              </w:tabs>
              <w:spacing w:line="400" w:lineRule="exact"/>
              <w:ind w:hanging="2"/>
              <w:jc w:val="center"/>
              <w:rPr>
                <w:rFonts w:hint="eastAsia" w:ascii="微软雅黑" w:hAnsi="微软雅黑" w:eastAsia="微软雅黑"/>
                <w:sz w:val="18"/>
                <w:szCs w:val="18"/>
              </w:rPr>
            </w:pPr>
            <w:r>
              <w:rPr>
                <w:rFonts w:ascii="微软雅黑" w:hAnsi="微软雅黑" w:eastAsia="微软雅黑"/>
                <w:sz w:val="18"/>
                <w:szCs w:val="18"/>
              </w:rPr>
              <w:t>Ⅰ级</w:t>
            </w:r>
          </w:p>
        </w:tc>
        <w:tc>
          <w:tcPr>
            <w:tcW w:w="2190" w:type="dxa"/>
            <w:tcBorders>
              <w:top w:val="nil"/>
              <w:left w:val="nil"/>
              <w:bottom w:val="single" w:color="auto" w:sz="4" w:space="0"/>
              <w:right w:val="single" w:color="auto" w:sz="4" w:space="0"/>
            </w:tcBorders>
            <w:vAlign w:val="center"/>
          </w:tcPr>
          <w:p w14:paraId="336D2A98">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PPD≤10％</w:t>
            </w:r>
          </w:p>
        </w:tc>
        <w:tc>
          <w:tcPr>
            <w:tcW w:w="4961" w:type="dxa"/>
            <w:tcBorders>
              <w:top w:val="nil"/>
              <w:left w:val="nil"/>
              <w:bottom w:val="single" w:color="auto" w:sz="4" w:space="0"/>
              <w:right w:val="single" w:color="auto" w:sz="4" w:space="0"/>
            </w:tcBorders>
            <w:vAlign w:val="center"/>
          </w:tcPr>
          <w:p w14:paraId="7E07CF46">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－0.5≤PMV≤＋0.5</w:t>
            </w:r>
          </w:p>
        </w:tc>
      </w:tr>
      <w:tr w14:paraId="55BDCEFF">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vAlign w:val="center"/>
          </w:tcPr>
          <w:p w14:paraId="173BB3AB">
            <w:pPr>
              <w:tabs>
                <w:tab w:val="left" w:pos="0"/>
              </w:tabs>
              <w:spacing w:line="400" w:lineRule="exact"/>
              <w:ind w:hanging="2"/>
              <w:jc w:val="center"/>
              <w:rPr>
                <w:rFonts w:hint="eastAsia" w:ascii="微软雅黑" w:hAnsi="微软雅黑" w:eastAsia="微软雅黑"/>
                <w:sz w:val="18"/>
                <w:szCs w:val="18"/>
              </w:rPr>
            </w:pPr>
            <w:r>
              <w:rPr>
                <w:rFonts w:ascii="微软雅黑" w:hAnsi="微软雅黑" w:eastAsia="微软雅黑"/>
                <w:sz w:val="18"/>
                <w:szCs w:val="18"/>
              </w:rPr>
              <w:t>Ⅱ级</w:t>
            </w:r>
          </w:p>
        </w:tc>
        <w:tc>
          <w:tcPr>
            <w:tcW w:w="2190" w:type="dxa"/>
            <w:tcBorders>
              <w:top w:val="nil"/>
              <w:left w:val="nil"/>
              <w:bottom w:val="single" w:color="auto" w:sz="4" w:space="0"/>
              <w:right w:val="single" w:color="auto" w:sz="4" w:space="0"/>
            </w:tcBorders>
            <w:vAlign w:val="center"/>
          </w:tcPr>
          <w:p w14:paraId="68686D1A">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10％＜PPD≤25％</w:t>
            </w:r>
          </w:p>
        </w:tc>
        <w:tc>
          <w:tcPr>
            <w:tcW w:w="4961" w:type="dxa"/>
            <w:tcBorders>
              <w:top w:val="nil"/>
              <w:left w:val="nil"/>
              <w:bottom w:val="single" w:color="auto" w:sz="4" w:space="0"/>
              <w:right w:val="single" w:color="auto" w:sz="4" w:space="0"/>
            </w:tcBorders>
            <w:vAlign w:val="center"/>
          </w:tcPr>
          <w:p w14:paraId="092E7150">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－1≤PMV＜－0.5或＋0.5＜PMV≤＋1</w:t>
            </w:r>
          </w:p>
        </w:tc>
      </w:tr>
      <w:tr w14:paraId="66285714">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vAlign w:val="center"/>
          </w:tcPr>
          <w:p w14:paraId="6DBAEAAB">
            <w:pPr>
              <w:tabs>
                <w:tab w:val="left" w:pos="0"/>
              </w:tabs>
              <w:spacing w:line="400" w:lineRule="exact"/>
              <w:ind w:hanging="2"/>
              <w:jc w:val="center"/>
              <w:rPr>
                <w:rFonts w:hint="eastAsia" w:ascii="微软雅黑" w:hAnsi="微软雅黑" w:eastAsia="微软雅黑"/>
                <w:sz w:val="18"/>
                <w:szCs w:val="18"/>
              </w:rPr>
            </w:pPr>
            <w:r>
              <w:rPr>
                <w:rFonts w:ascii="微软雅黑" w:hAnsi="微软雅黑" w:eastAsia="微软雅黑"/>
                <w:sz w:val="18"/>
                <w:szCs w:val="18"/>
              </w:rPr>
              <w:t>Ⅲ级</w:t>
            </w:r>
          </w:p>
        </w:tc>
        <w:tc>
          <w:tcPr>
            <w:tcW w:w="2190" w:type="dxa"/>
            <w:tcBorders>
              <w:top w:val="nil"/>
              <w:left w:val="nil"/>
              <w:bottom w:val="single" w:color="auto" w:sz="4" w:space="0"/>
              <w:right w:val="single" w:color="auto" w:sz="4" w:space="0"/>
            </w:tcBorders>
            <w:vAlign w:val="center"/>
          </w:tcPr>
          <w:p w14:paraId="36C9A0C0">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PPD＞25％</w:t>
            </w:r>
          </w:p>
        </w:tc>
        <w:tc>
          <w:tcPr>
            <w:tcW w:w="4961" w:type="dxa"/>
            <w:tcBorders>
              <w:top w:val="nil"/>
              <w:left w:val="nil"/>
              <w:bottom w:val="single" w:color="auto" w:sz="4" w:space="0"/>
              <w:right w:val="single" w:color="auto" w:sz="4" w:space="0"/>
            </w:tcBorders>
            <w:vAlign w:val="center"/>
          </w:tcPr>
          <w:p w14:paraId="7028BEB0">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PMV＜－1或PMV＞＋1</w:t>
            </w:r>
          </w:p>
        </w:tc>
      </w:tr>
    </w:tbl>
    <w:p w14:paraId="34A17EE5">
      <w:pPr>
        <w:pStyle w:val="3"/>
        <w:spacing w:line="400" w:lineRule="exact"/>
        <w:ind w:firstLine="0" w:firstLineChars="0"/>
        <w:rPr>
          <w:rFonts w:hint="eastAsia" w:ascii="微软雅黑" w:hAnsi="微软雅黑" w:eastAsia="微软雅黑"/>
          <w:color w:val="FF0000"/>
          <w:lang w:val="en-US"/>
        </w:rPr>
      </w:pPr>
    </w:p>
    <w:p w14:paraId="328DEEDC">
      <w:pPr>
        <w:pStyle w:val="4"/>
        <w:spacing w:before="156"/>
        <w:rPr>
          <w:rFonts w:hint="eastAsia"/>
        </w:rPr>
      </w:pPr>
      <w:bookmarkStart w:id="100" w:name="达标统计表"/>
      <w:bookmarkEnd w:id="100"/>
      <w:bookmarkStart w:id="101" w:name="_Toc28082"/>
      <w:bookmarkStart w:id="102" w:name="_Toc44772827"/>
      <w:r>
        <w:rPr>
          <w:rFonts w:hint="eastAsia"/>
        </w:rPr>
        <w:t>达标情况</w:t>
      </w:r>
      <w:bookmarkEnd w:id="101"/>
      <w:bookmarkEnd w:id="102"/>
    </w:p>
    <w:p w14:paraId="0A113555">
      <w:pPr>
        <w:pStyle w:val="3"/>
        <w:spacing w:line="400" w:lineRule="exact"/>
        <w:ind w:left="143" w:leftChars="68" w:firstLine="420"/>
        <w:rPr>
          <w:rFonts w:hint="eastAsia" w:ascii="微软雅黑" w:hAnsi="微软雅黑" w:eastAsia="微软雅黑"/>
          <w:lang w:val="en-US"/>
        </w:rPr>
      </w:pPr>
      <w:r>
        <w:rPr>
          <w:rFonts w:hint="eastAsia" w:ascii="微软雅黑" w:hAnsi="微软雅黑" w:eastAsia="微软雅黑"/>
          <w:lang w:val="en-US"/>
        </w:rPr>
        <w:t>本项目结合前述计算参数对所有参评房间进行了PMV-PPD计算，</w:t>
      </w:r>
      <w:bookmarkStart w:id="103" w:name="供冷期达标"/>
      <w:bookmarkStart w:id="104" w:name="供冷期达标情况"/>
      <w:r>
        <w:rPr>
          <w:rFonts w:hint="eastAsia" w:ascii="微软雅黑" w:hAnsi="微软雅黑" w:eastAsia="微软雅黑"/>
          <w:lang w:val="en-US"/>
        </w:rPr>
        <w:t>供冷期</w:t>
      </w:r>
      <w:bookmarkEnd w:id="103"/>
      <w:bookmarkEnd w:id="104"/>
      <w:r>
        <w:rPr>
          <w:rFonts w:hint="eastAsia" w:ascii="微软雅黑" w:hAnsi="微软雅黑" w:eastAsia="微软雅黑"/>
          <w:lang w:val="en-US"/>
        </w:rPr>
        <w:t>PMV为</w:t>
      </w:r>
      <w:bookmarkStart w:id="105" w:name="PMV"/>
      <w:bookmarkStart w:id="106" w:name="供冷期PMV结果"/>
      <w:r>
        <w:rPr>
          <w:rFonts w:hint="eastAsia" w:ascii="微软雅黑" w:hAnsi="微软雅黑" w:eastAsia="微软雅黑"/>
          <w:lang w:val="en-US"/>
        </w:rPr>
        <w:t>0.51</w:t>
      </w:r>
      <w:bookmarkEnd w:id="105"/>
      <w:bookmarkEnd w:id="106"/>
      <w:r>
        <w:rPr>
          <w:rFonts w:hint="eastAsia" w:ascii="微软雅黑" w:hAnsi="微软雅黑" w:eastAsia="微软雅黑"/>
          <w:lang w:val="en-US"/>
        </w:rPr>
        <w:t>，PPD为</w:t>
      </w:r>
      <w:bookmarkStart w:id="107" w:name="PPD"/>
      <w:bookmarkStart w:id="108" w:name="供冷期PPD结果"/>
      <w:r>
        <w:rPr>
          <w:rFonts w:hint="eastAsia" w:ascii="微软雅黑" w:hAnsi="微软雅黑" w:eastAsia="微软雅黑"/>
          <w:lang w:val="en-US"/>
        </w:rPr>
        <w:t>10.05</w:t>
      </w:r>
      <w:bookmarkEnd w:id="107"/>
      <w:bookmarkEnd w:id="108"/>
      <w:r>
        <w:rPr>
          <w:rFonts w:hint="eastAsia" w:ascii="微软雅黑" w:hAnsi="微软雅黑" w:eastAsia="微软雅黑"/>
          <w:lang w:val="en-US"/>
        </w:rPr>
        <w:t>%，</w:t>
      </w:r>
      <w:bookmarkStart w:id="109" w:name="供暖期达标情况"/>
      <w:r>
        <w:rPr>
          <w:rFonts w:hint="eastAsia" w:ascii="微软雅黑" w:hAnsi="微软雅黑" w:eastAsia="微软雅黑"/>
          <w:lang w:val="en-US"/>
        </w:rPr>
        <w:t>供暖期</w:t>
      </w:r>
      <w:bookmarkEnd w:id="109"/>
      <w:r>
        <w:rPr>
          <w:rFonts w:hint="eastAsia" w:ascii="微软雅黑" w:hAnsi="微软雅黑" w:eastAsia="微软雅黑"/>
          <w:lang w:val="en-US"/>
        </w:rPr>
        <w:t>P</w:t>
      </w:r>
      <w:r>
        <w:rPr>
          <w:rFonts w:ascii="微软雅黑" w:hAnsi="微软雅黑" w:eastAsia="微软雅黑"/>
          <w:lang w:val="en-US"/>
        </w:rPr>
        <w:t>MV</w:t>
      </w:r>
      <w:r>
        <w:rPr>
          <w:rFonts w:hint="eastAsia" w:ascii="微软雅黑" w:hAnsi="微软雅黑" w:eastAsia="微软雅黑"/>
          <w:lang w:val="en-US"/>
        </w:rPr>
        <w:t>为</w:t>
      </w:r>
      <w:bookmarkStart w:id="110" w:name="供暖期PMV结果"/>
      <w:r>
        <w:rPr>
          <w:rFonts w:hint="eastAsia" w:ascii="微软雅黑" w:hAnsi="微软雅黑" w:eastAsia="微软雅黑"/>
          <w:lang w:val="en-US"/>
        </w:rPr>
        <w:t>-0.16</w:t>
      </w:r>
      <w:bookmarkEnd w:id="110"/>
      <w:r>
        <w:rPr>
          <w:rFonts w:hint="eastAsia" w:ascii="微软雅黑" w:hAnsi="微软雅黑" w:eastAsia="微软雅黑"/>
          <w:lang w:val="en-US"/>
        </w:rPr>
        <w:t>，P</w:t>
      </w:r>
      <w:r>
        <w:rPr>
          <w:rFonts w:ascii="微软雅黑" w:hAnsi="微软雅黑" w:eastAsia="微软雅黑"/>
          <w:lang w:val="en-US"/>
        </w:rPr>
        <w:t>PD</w:t>
      </w:r>
      <w:r>
        <w:rPr>
          <w:rFonts w:hint="eastAsia" w:ascii="微软雅黑" w:hAnsi="微软雅黑" w:eastAsia="微软雅黑"/>
          <w:lang w:val="en-US"/>
        </w:rPr>
        <w:t>为</w:t>
      </w:r>
      <w:bookmarkStart w:id="111" w:name="供暖期PPD结果"/>
      <w:r>
        <w:rPr>
          <w:rFonts w:hint="eastAsia" w:ascii="微软雅黑" w:hAnsi="微软雅黑" w:eastAsia="微软雅黑"/>
          <w:lang w:val="en-US"/>
        </w:rPr>
        <w:t>5.47</w:t>
      </w:r>
      <w:bookmarkEnd w:id="111"/>
      <w:r>
        <w:rPr>
          <w:rFonts w:ascii="微软雅黑" w:hAnsi="微软雅黑" w:eastAsia="微软雅黑"/>
          <w:lang w:val="en-US"/>
        </w:rPr>
        <w:t>%</w:t>
      </w:r>
      <w:r>
        <w:rPr>
          <w:rFonts w:hint="eastAsia" w:ascii="微软雅黑" w:hAnsi="微软雅黑" w:eastAsia="微软雅黑"/>
          <w:lang w:val="en-US"/>
        </w:rPr>
        <w:t>。本项目房间内热湿环境参数分布均匀，因此达标面积比例为</w:t>
      </w:r>
      <w:bookmarkStart w:id="112" w:name="最不利工况达标比例"/>
      <w:r>
        <w:rPr>
          <w:rFonts w:hint="eastAsia" w:ascii="微软雅黑" w:hAnsi="微软雅黑" w:eastAsia="微软雅黑"/>
          <w:lang w:val="en-US"/>
        </w:rPr>
        <w:t>100.00%</w:t>
      </w:r>
      <w:bookmarkEnd w:id="112"/>
      <w:r>
        <w:rPr>
          <w:rFonts w:hint="eastAsia" w:ascii="微软雅黑" w:hAnsi="微软雅黑" w:eastAsia="微软雅黑"/>
          <w:lang w:val="en-US"/>
        </w:rPr>
        <w:t>。</w:t>
      </w:r>
    </w:p>
    <w:p w14:paraId="5137B553">
      <w:pPr>
        <w:spacing w:line="400" w:lineRule="exact"/>
        <w:ind w:firstLine="213" w:firstLineChars="97"/>
        <w:rPr>
          <w:rFonts w:hint="eastAsia" w:ascii="微软雅黑" w:hAnsi="微软雅黑" w:eastAsia="微软雅黑"/>
          <w:sz w:val="22"/>
          <w:szCs w:val="24"/>
        </w:rPr>
      </w:pPr>
    </w:p>
    <w:p w14:paraId="61341AE0">
      <w:pPr>
        <w:spacing w:line="400" w:lineRule="exact"/>
        <w:ind w:firstLine="174" w:firstLineChars="97"/>
        <w:rPr>
          <w:rFonts w:hint="eastAsia" w:ascii="微软雅黑" w:hAnsi="微软雅黑" w:eastAsia="微软雅黑"/>
          <w:sz w:val="18"/>
          <w:szCs w:val="18"/>
        </w:rPr>
      </w:pPr>
      <w:r>
        <w:rPr>
          <w:rFonts w:hint="eastAsia" w:ascii="微软雅黑" w:hAnsi="微软雅黑" w:eastAsia="微软雅黑"/>
          <w:sz w:val="18"/>
          <w:szCs w:val="18"/>
        </w:rPr>
        <w:t>说明：建筑整体的PMV-PPD达标面积比例按照建筑各主要功能房间的计算值进行面积加权平均得出。</w:t>
      </w:r>
    </w:p>
    <w:p w14:paraId="26F7E888">
      <w:pPr>
        <w:pStyle w:val="2"/>
        <w:spacing w:before="312"/>
        <w:rPr>
          <w:rFonts w:hint="eastAsia"/>
        </w:rPr>
      </w:pPr>
      <w:bookmarkStart w:id="113" w:name="_Toc24150"/>
      <w:bookmarkStart w:id="114" w:name="_Toc44662482"/>
      <w:bookmarkStart w:id="115" w:name="_Toc44772828"/>
      <w:r>
        <w:rPr>
          <w:rFonts w:hint="eastAsia"/>
        </w:rPr>
        <w:t>结论</w:t>
      </w:r>
      <w:bookmarkEnd w:id="113"/>
      <w:bookmarkEnd w:id="114"/>
      <w:bookmarkEnd w:id="115"/>
    </w:p>
    <w:p w14:paraId="0FA06521">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该建筑主要功能房间热湿环境评价</w:t>
      </w:r>
      <w:r>
        <w:rPr>
          <w:rFonts w:ascii="微软雅黑" w:hAnsi="微软雅黑" w:eastAsia="微软雅黑"/>
          <w:lang w:val="en-US"/>
        </w:rPr>
        <w:t>指标</w:t>
      </w:r>
      <w:r>
        <w:rPr>
          <w:rFonts w:hint="eastAsia" w:ascii="微软雅黑" w:hAnsi="微软雅黑" w:eastAsia="微软雅黑"/>
          <w:lang w:val="en-US"/>
        </w:rPr>
        <w:t>PMV和PPD达到整体评价</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 2 \* ROMAN</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II</w:t>
      </w:r>
      <w:r>
        <w:rPr>
          <w:rFonts w:ascii="微软雅黑" w:hAnsi="微软雅黑" w:eastAsia="微软雅黑"/>
          <w:lang w:val="en-US"/>
        </w:rPr>
        <w:fldChar w:fldCharType="end"/>
      </w:r>
      <w:r>
        <w:rPr>
          <w:rFonts w:hint="eastAsia" w:ascii="微软雅黑" w:hAnsi="微软雅黑" w:eastAsia="微软雅黑"/>
          <w:lang w:val="en-US"/>
        </w:rPr>
        <w:t>级的面积比例为</w:t>
      </w:r>
      <w:bookmarkStart w:id="116" w:name="达标百分比"/>
      <w:r>
        <w:rPr>
          <w:rFonts w:hint="eastAsia" w:ascii="微软雅黑" w:hAnsi="微软雅黑" w:eastAsia="微软雅黑"/>
          <w:lang w:val="en-US"/>
        </w:rPr>
        <w:t>100.00%</w:t>
      </w:r>
      <w:bookmarkEnd w:id="116"/>
      <w:r>
        <w:rPr>
          <w:rFonts w:hint="eastAsia" w:ascii="微软雅黑" w:hAnsi="微软雅黑" w:eastAsia="微软雅黑"/>
          <w:lang w:val="en-US"/>
        </w:rPr>
        <w:t>，根据绿标5.2.9，应得</w:t>
      </w:r>
      <w:bookmarkStart w:id="117" w:name="得分"/>
      <w:r>
        <w:rPr>
          <w:rFonts w:hint="eastAsia" w:ascii="微软雅黑" w:hAnsi="微软雅黑" w:eastAsia="微软雅黑"/>
          <w:lang w:val="en-US"/>
        </w:rPr>
        <w:t>8</w:t>
      </w:r>
      <w:bookmarkEnd w:id="117"/>
      <w:r>
        <w:rPr>
          <w:rFonts w:hint="eastAsia" w:ascii="微软雅黑" w:hAnsi="微软雅黑" w:eastAsia="微软雅黑"/>
          <w:lang w:val="en-US"/>
        </w:rPr>
        <w:t>分。</w:t>
      </w:r>
    </w:p>
    <w:p w14:paraId="17544D8D">
      <w:pPr>
        <w:pStyle w:val="3"/>
        <w:ind w:firstLine="0" w:firstLineChars="0"/>
        <w:rPr>
          <w:lang w:val="en-US"/>
        </w:rPr>
      </w:pPr>
    </w:p>
    <w:sectPr>
      <w:pgSz w:w="11906" w:h="16838"/>
      <w:pgMar w:top="1440" w:right="1800" w:bottom="1440" w:left="1800" w:header="794" w:footer="516"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Layout w:type="autofit"/>
      <w:tblCellMar>
        <w:top w:w="0" w:type="dxa"/>
        <w:left w:w="108" w:type="dxa"/>
        <w:bottom w:w="0" w:type="dxa"/>
        <w:right w:w="108" w:type="dxa"/>
      </w:tblCellMar>
    </w:tblPr>
    <w:tblGrid>
      <w:gridCol w:w="2840"/>
      <w:gridCol w:w="2841"/>
      <w:gridCol w:w="2841"/>
    </w:tblGrid>
    <w:tr w14:paraId="14BA46B7">
      <w:tblPrEx>
        <w:tblCellMar>
          <w:top w:w="0" w:type="dxa"/>
          <w:left w:w="108" w:type="dxa"/>
          <w:bottom w:w="0" w:type="dxa"/>
          <w:right w:w="108" w:type="dxa"/>
        </w:tblCellMar>
      </w:tblPrEx>
      <w:tc>
        <w:tcPr>
          <w:tcW w:w="2840" w:type="dxa"/>
        </w:tcPr>
        <w:p w14:paraId="6841A753">
          <w:pPr>
            <w:pStyle w:val="17"/>
            <w:rPr>
              <w:rFonts w:hint="eastAsia" w:ascii="微软雅黑" w:hAnsi="微软雅黑" w:eastAsia="微软雅黑"/>
              <w:sz w:val="20"/>
              <w:szCs w:val="21"/>
            </w:rPr>
          </w:pPr>
        </w:p>
      </w:tc>
      <w:tc>
        <w:tcPr>
          <w:tcW w:w="2841" w:type="dxa"/>
        </w:tcPr>
        <w:p w14:paraId="39BCFCEF">
          <w:pPr>
            <w:pStyle w:val="17"/>
            <w:jc w:val="center"/>
            <w:rPr>
              <w:rFonts w:hint="eastAsia" w:ascii="微软雅黑" w:hAnsi="微软雅黑" w:eastAsia="微软雅黑"/>
              <w:sz w:val="20"/>
              <w:szCs w:val="21"/>
            </w:rPr>
          </w:pPr>
          <w:r>
            <w:rPr>
              <w:rFonts w:hint="eastAsia" w:ascii="微软雅黑" w:hAnsi="微软雅黑" w:eastAsia="微软雅黑"/>
              <w:sz w:val="20"/>
            </w:rPr>
            <w:t>第</w:t>
          </w:r>
          <w:r>
            <w:rPr>
              <w:rFonts w:ascii="微软雅黑" w:hAnsi="微软雅黑" w:eastAsia="微软雅黑"/>
              <w:bCs/>
              <w:sz w:val="20"/>
              <w:szCs w:val="21"/>
            </w:rPr>
            <w:fldChar w:fldCharType="begin"/>
          </w:r>
          <w:r>
            <w:rPr>
              <w:rFonts w:ascii="微软雅黑" w:hAnsi="微软雅黑" w:eastAsia="微软雅黑"/>
              <w:bCs/>
              <w:sz w:val="20"/>
              <w:szCs w:val="21"/>
            </w:rPr>
            <w:instrText xml:space="preserve">PAGE</w:instrText>
          </w:r>
          <w:r>
            <w:rPr>
              <w:rFonts w:ascii="微软雅黑" w:hAnsi="微软雅黑" w:eastAsia="微软雅黑"/>
              <w:bCs/>
              <w:sz w:val="20"/>
              <w:szCs w:val="21"/>
            </w:rPr>
            <w:fldChar w:fldCharType="separate"/>
          </w:r>
          <w:r>
            <w:rPr>
              <w:rFonts w:ascii="微软雅黑" w:hAnsi="微软雅黑" w:eastAsia="微软雅黑"/>
              <w:bCs/>
              <w:sz w:val="20"/>
              <w:szCs w:val="21"/>
            </w:rPr>
            <w:t>6</w:t>
          </w:r>
          <w:r>
            <w:rPr>
              <w:rFonts w:ascii="微软雅黑" w:hAnsi="微软雅黑" w:eastAsia="微软雅黑"/>
              <w:bCs/>
              <w:sz w:val="20"/>
              <w:szCs w:val="21"/>
            </w:rPr>
            <w:fldChar w:fldCharType="end"/>
          </w:r>
          <w:r>
            <w:rPr>
              <w:rFonts w:hint="eastAsia" w:ascii="微软雅黑" w:hAnsi="微软雅黑" w:eastAsia="微软雅黑"/>
              <w:sz w:val="20"/>
              <w:szCs w:val="21"/>
              <w:lang w:val="zh-CN"/>
            </w:rPr>
            <w:t>页 共</w:t>
          </w:r>
          <w:r>
            <w:rPr>
              <w:rFonts w:ascii="微软雅黑" w:hAnsi="微软雅黑" w:eastAsia="微软雅黑"/>
              <w:bCs/>
              <w:sz w:val="20"/>
              <w:szCs w:val="21"/>
            </w:rPr>
            <w:fldChar w:fldCharType="begin"/>
          </w:r>
          <w:r>
            <w:rPr>
              <w:rFonts w:ascii="微软雅黑" w:hAnsi="微软雅黑" w:eastAsia="微软雅黑"/>
              <w:bCs/>
              <w:sz w:val="20"/>
              <w:szCs w:val="21"/>
            </w:rPr>
            <w:instrText xml:space="preserve">NUMPAGES</w:instrText>
          </w:r>
          <w:r>
            <w:rPr>
              <w:rFonts w:ascii="微软雅黑" w:hAnsi="微软雅黑" w:eastAsia="微软雅黑"/>
              <w:bCs/>
              <w:sz w:val="20"/>
              <w:szCs w:val="21"/>
            </w:rPr>
            <w:fldChar w:fldCharType="separate"/>
          </w:r>
          <w:r>
            <w:rPr>
              <w:rFonts w:ascii="微软雅黑" w:hAnsi="微软雅黑" w:eastAsia="微软雅黑"/>
              <w:bCs/>
              <w:sz w:val="20"/>
              <w:szCs w:val="21"/>
            </w:rPr>
            <w:t>6</w:t>
          </w:r>
          <w:r>
            <w:rPr>
              <w:rFonts w:ascii="微软雅黑" w:hAnsi="微软雅黑" w:eastAsia="微软雅黑"/>
              <w:bCs/>
              <w:sz w:val="20"/>
              <w:szCs w:val="21"/>
            </w:rPr>
            <w:fldChar w:fldCharType="end"/>
          </w:r>
          <w:r>
            <w:rPr>
              <w:rFonts w:hint="eastAsia" w:ascii="微软雅黑" w:hAnsi="微软雅黑" w:eastAsia="微软雅黑"/>
              <w:bCs/>
              <w:sz w:val="20"/>
              <w:szCs w:val="21"/>
            </w:rPr>
            <w:t>页</w:t>
          </w:r>
        </w:p>
      </w:tc>
      <w:tc>
        <w:tcPr>
          <w:tcW w:w="2841" w:type="dxa"/>
        </w:tcPr>
        <w:p w14:paraId="2240383D">
          <w:pPr>
            <w:pStyle w:val="17"/>
            <w:jc w:val="right"/>
            <w:rPr>
              <w:rFonts w:hint="eastAsia" w:ascii="微软雅黑" w:hAnsi="微软雅黑" w:eastAsia="微软雅黑"/>
              <w:sz w:val="20"/>
              <w:szCs w:val="21"/>
            </w:rPr>
          </w:pPr>
        </w:p>
      </w:tc>
    </w:tr>
  </w:tbl>
  <w:p w14:paraId="4937AA0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003D">
    <w:pPr>
      <w:pStyle w:val="17"/>
      <w:jc w:val="center"/>
      <w:rPr>
        <w:rFonts w:hint="eastAsia" w:ascii="宋体" w:hAnsi="宋体"/>
        <w:szCs w:val="21"/>
      </w:rPr>
    </w:pPr>
  </w:p>
  <w:p w14:paraId="7CE2E56B">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0BDE7">
    <w:pPr>
      <w:pStyle w:val="18"/>
      <w:pBdr>
        <w:bottom w:val="single" w:color="auto" w:sz="6" w:space="0"/>
      </w:pBdr>
      <w:tabs>
        <w:tab w:val="center" w:pos="5031"/>
        <w:tab w:val="right" w:pos="10063"/>
        <w:tab w:val="clear" w:pos="4153"/>
        <w:tab w:val="clear" w:pos="8306"/>
      </w:tabs>
      <w:jc w:val="left"/>
      <w:rPr>
        <w:rFonts w:hint="eastAsia" w:ascii="微软雅黑" w:hAnsi="微软雅黑" w:eastAsia="微软雅黑"/>
      </w:rPr>
    </w:pPr>
    <w:r>
      <w:rPr>
        <w:rFonts w:ascii="微软雅黑" w:hAnsi="微软雅黑" w:eastAsia="微软雅黑"/>
        <w:lang w:val="en-US"/>
      </w:rPr>
      <w:drawing>
        <wp:inline distT="0" distB="0" distL="0" distR="0">
          <wp:extent cx="866775" cy="2476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6775" cy="247650"/>
                  </a:xfrm>
                  <a:prstGeom prst="rect">
                    <a:avLst/>
                  </a:prstGeom>
                  <a:noFill/>
                  <a:ln>
                    <a:noFill/>
                  </a:ln>
                </pic:spPr>
              </pic:pic>
            </a:graphicData>
          </a:graphic>
        </wp:inline>
      </w:drawing>
    </w:r>
    <w:r>
      <w:rPr>
        <w:rFonts w:ascii="微软雅黑" w:hAnsi="微软雅黑" w:eastAsia="微软雅黑"/>
      </w:rPr>
      <w:tab/>
    </w:r>
    <w:r>
      <w:rPr>
        <w:rFonts w:hint="eastAsia" w:ascii="微软雅黑" w:hAnsi="微软雅黑" w:eastAsia="微软雅黑"/>
      </w:rPr>
      <w:t xml:space="preserve">                                      室内PMV-PPD达标比例报告书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1"/>
        <w:szCs w:val="21"/>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50D6A"/>
    <w:rsid w:val="00000112"/>
    <w:rsid w:val="00005045"/>
    <w:rsid w:val="0000578F"/>
    <w:rsid w:val="0002001E"/>
    <w:rsid w:val="000209D7"/>
    <w:rsid w:val="000219DF"/>
    <w:rsid w:val="00026604"/>
    <w:rsid w:val="00030083"/>
    <w:rsid w:val="00037A4C"/>
    <w:rsid w:val="00051007"/>
    <w:rsid w:val="00061E8B"/>
    <w:rsid w:val="000678A8"/>
    <w:rsid w:val="00067FD6"/>
    <w:rsid w:val="00070047"/>
    <w:rsid w:val="00073958"/>
    <w:rsid w:val="00081A16"/>
    <w:rsid w:val="00097013"/>
    <w:rsid w:val="000C1855"/>
    <w:rsid w:val="000C291D"/>
    <w:rsid w:val="000C3B77"/>
    <w:rsid w:val="000C6A98"/>
    <w:rsid w:val="000D0892"/>
    <w:rsid w:val="000D16B8"/>
    <w:rsid w:val="000D7A8A"/>
    <w:rsid w:val="000E6C02"/>
    <w:rsid w:val="000F14F7"/>
    <w:rsid w:val="000F63BF"/>
    <w:rsid w:val="000F7EF2"/>
    <w:rsid w:val="0010102D"/>
    <w:rsid w:val="00101EBF"/>
    <w:rsid w:val="00106871"/>
    <w:rsid w:val="001105DA"/>
    <w:rsid w:val="00111EDF"/>
    <w:rsid w:val="00112118"/>
    <w:rsid w:val="00112DC5"/>
    <w:rsid w:val="00117E84"/>
    <w:rsid w:val="00120AB8"/>
    <w:rsid w:val="00122AE1"/>
    <w:rsid w:val="00122DD1"/>
    <w:rsid w:val="001240BB"/>
    <w:rsid w:val="00124784"/>
    <w:rsid w:val="00124E90"/>
    <w:rsid w:val="00134709"/>
    <w:rsid w:val="001428A7"/>
    <w:rsid w:val="0014776A"/>
    <w:rsid w:val="00147DF5"/>
    <w:rsid w:val="001511A3"/>
    <w:rsid w:val="00153AEE"/>
    <w:rsid w:val="001570B9"/>
    <w:rsid w:val="0016330F"/>
    <w:rsid w:val="00172AE4"/>
    <w:rsid w:val="001737F9"/>
    <w:rsid w:val="0017652D"/>
    <w:rsid w:val="00176F98"/>
    <w:rsid w:val="001773DA"/>
    <w:rsid w:val="00184656"/>
    <w:rsid w:val="00186918"/>
    <w:rsid w:val="001A12A0"/>
    <w:rsid w:val="001A4175"/>
    <w:rsid w:val="001A7C37"/>
    <w:rsid w:val="001B04CB"/>
    <w:rsid w:val="001B44A0"/>
    <w:rsid w:val="001B453D"/>
    <w:rsid w:val="001B7C87"/>
    <w:rsid w:val="001C1C39"/>
    <w:rsid w:val="001D062E"/>
    <w:rsid w:val="001D3071"/>
    <w:rsid w:val="001D3BB9"/>
    <w:rsid w:val="001D7BE2"/>
    <w:rsid w:val="001E133A"/>
    <w:rsid w:val="00200587"/>
    <w:rsid w:val="00201812"/>
    <w:rsid w:val="00203163"/>
    <w:rsid w:val="00203A7D"/>
    <w:rsid w:val="00215EBC"/>
    <w:rsid w:val="00217F09"/>
    <w:rsid w:val="0022597C"/>
    <w:rsid w:val="0023340F"/>
    <w:rsid w:val="00236D2F"/>
    <w:rsid w:val="002431AE"/>
    <w:rsid w:val="0024379B"/>
    <w:rsid w:val="002555B8"/>
    <w:rsid w:val="002611A7"/>
    <w:rsid w:val="00266FC5"/>
    <w:rsid w:val="00276796"/>
    <w:rsid w:val="00284FB2"/>
    <w:rsid w:val="0029328A"/>
    <w:rsid w:val="00295C3C"/>
    <w:rsid w:val="00295D20"/>
    <w:rsid w:val="002A1AF2"/>
    <w:rsid w:val="002A60F5"/>
    <w:rsid w:val="002B090C"/>
    <w:rsid w:val="002B2E78"/>
    <w:rsid w:val="002B7314"/>
    <w:rsid w:val="002C153B"/>
    <w:rsid w:val="002D79CF"/>
    <w:rsid w:val="002E0E30"/>
    <w:rsid w:val="002E62F6"/>
    <w:rsid w:val="002E702B"/>
    <w:rsid w:val="002F1E1F"/>
    <w:rsid w:val="00301A87"/>
    <w:rsid w:val="0030437C"/>
    <w:rsid w:val="0031135A"/>
    <w:rsid w:val="003121F7"/>
    <w:rsid w:val="0031365D"/>
    <w:rsid w:val="00314D29"/>
    <w:rsid w:val="00315CFC"/>
    <w:rsid w:val="00316B5F"/>
    <w:rsid w:val="00317F3B"/>
    <w:rsid w:val="00321894"/>
    <w:rsid w:val="00321CDB"/>
    <w:rsid w:val="00332515"/>
    <w:rsid w:val="003368D4"/>
    <w:rsid w:val="00337C74"/>
    <w:rsid w:val="00340177"/>
    <w:rsid w:val="0034506B"/>
    <w:rsid w:val="003630EE"/>
    <w:rsid w:val="00365BA9"/>
    <w:rsid w:val="0037000B"/>
    <w:rsid w:val="003747B9"/>
    <w:rsid w:val="0038554A"/>
    <w:rsid w:val="003857DF"/>
    <w:rsid w:val="003A50E3"/>
    <w:rsid w:val="003A6A7F"/>
    <w:rsid w:val="003B2E2C"/>
    <w:rsid w:val="003B3724"/>
    <w:rsid w:val="003C04E5"/>
    <w:rsid w:val="003C51B9"/>
    <w:rsid w:val="003C5E51"/>
    <w:rsid w:val="003C5F3A"/>
    <w:rsid w:val="003D123E"/>
    <w:rsid w:val="003D3100"/>
    <w:rsid w:val="003D3E8E"/>
    <w:rsid w:val="003D52D0"/>
    <w:rsid w:val="003D71B6"/>
    <w:rsid w:val="003E0E32"/>
    <w:rsid w:val="00407998"/>
    <w:rsid w:val="00412598"/>
    <w:rsid w:val="00412ACB"/>
    <w:rsid w:val="00413CCF"/>
    <w:rsid w:val="00413DB8"/>
    <w:rsid w:val="004169B3"/>
    <w:rsid w:val="00421EC2"/>
    <w:rsid w:val="00423970"/>
    <w:rsid w:val="00435221"/>
    <w:rsid w:val="00437A5C"/>
    <w:rsid w:val="0044152D"/>
    <w:rsid w:val="00446531"/>
    <w:rsid w:val="00453246"/>
    <w:rsid w:val="004556B5"/>
    <w:rsid w:val="00455947"/>
    <w:rsid w:val="0046589C"/>
    <w:rsid w:val="0047200C"/>
    <w:rsid w:val="00475B5C"/>
    <w:rsid w:val="00481D85"/>
    <w:rsid w:val="00483193"/>
    <w:rsid w:val="00494ADE"/>
    <w:rsid w:val="0049520E"/>
    <w:rsid w:val="00497DC6"/>
    <w:rsid w:val="004A0D3B"/>
    <w:rsid w:val="004C7D33"/>
    <w:rsid w:val="004D230F"/>
    <w:rsid w:val="004D3820"/>
    <w:rsid w:val="004D449D"/>
    <w:rsid w:val="004D7AD4"/>
    <w:rsid w:val="004E0CD4"/>
    <w:rsid w:val="004E2AEB"/>
    <w:rsid w:val="004E3413"/>
    <w:rsid w:val="004F0639"/>
    <w:rsid w:val="0050569B"/>
    <w:rsid w:val="005073D3"/>
    <w:rsid w:val="00511D13"/>
    <w:rsid w:val="00512B1A"/>
    <w:rsid w:val="005215FB"/>
    <w:rsid w:val="00530402"/>
    <w:rsid w:val="00535C7A"/>
    <w:rsid w:val="00537E4B"/>
    <w:rsid w:val="00540765"/>
    <w:rsid w:val="00547D69"/>
    <w:rsid w:val="00562403"/>
    <w:rsid w:val="005725E0"/>
    <w:rsid w:val="005755BA"/>
    <w:rsid w:val="0057764F"/>
    <w:rsid w:val="0058458C"/>
    <w:rsid w:val="0058501E"/>
    <w:rsid w:val="005910E8"/>
    <w:rsid w:val="00594562"/>
    <w:rsid w:val="005A1031"/>
    <w:rsid w:val="005A1B63"/>
    <w:rsid w:val="005A21DB"/>
    <w:rsid w:val="005A317A"/>
    <w:rsid w:val="005A3A23"/>
    <w:rsid w:val="005A7F1B"/>
    <w:rsid w:val="005B277A"/>
    <w:rsid w:val="005B7445"/>
    <w:rsid w:val="005C069E"/>
    <w:rsid w:val="005C3BC7"/>
    <w:rsid w:val="005C6629"/>
    <w:rsid w:val="005D065D"/>
    <w:rsid w:val="005D16BC"/>
    <w:rsid w:val="005E2482"/>
    <w:rsid w:val="005F38AF"/>
    <w:rsid w:val="005F4F73"/>
    <w:rsid w:val="006105F7"/>
    <w:rsid w:val="00611D64"/>
    <w:rsid w:val="0061226D"/>
    <w:rsid w:val="00612E00"/>
    <w:rsid w:val="006156D5"/>
    <w:rsid w:val="0062338D"/>
    <w:rsid w:val="006254D5"/>
    <w:rsid w:val="0062614A"/>
    <w:rsid w:val="00634E08"/>
    <w:rsid w:val="0064005D"/>
    <w:rsid w:val="00642309"/>
    <w:rsid w:val="00651F86"/>
    <w:rsid w:val="00653B24"/>
    <w:rsid w:val="00654C63"/>
    <w:rsid w:val="00656119"/>
    <w:rsid w:val="00656F67"/>
    <w:rsid w:val="00661405"/>
    <w:rsid w:val="00662EF0"/>
    <w:rsid w:val="006645DE"/>
    <w:rsid w:val="00670E9B"/>
    <w:rsid w:val="00672C75"/>
    <w:rsid w:val="0067336D"/>
    <w:rsid w:val="00674121"/>
    <w:rsid w:val="0068430E"/>
    <w:rsid w:val="00691DD2"/>
    <w:rsid w:val="00694FCA"/>
    <w:rsid w:val="0069542D"/>
    <w:rsid w:val="0069629F"/>
    <w:rsid w:val="006A07C2"/>
    <w:rsid w:val="006A4471"/>
    <w:rsid w:val="006B6C00"/>
    <w:rsid w:val="006B7899"/>
    <w:rsid w:val="006C2D59"/>
    <w:rsid w:val="006C2DCC"/>
    <w:rsid w:val="006D02D6"/>
    <w:rsid w:val="006D0E3A"/>
    <w:rsid w:val="006D45E8"/>
    <w:rsid w:val="006E2867"/>
    <w:rsid w:val="006E323A"/>
    <w:rsid w:val="006E3915"/>
    <w:rsid w:val="006E4B7C"/>
    <w:rsid w:val="006E5E4E"/>
    <w:rsid w:val="006F0AC9"/>
    <w:rsid w:val="006F289F"/>
    <w:rsid w:val="006F3036"/>
    <w:rsid w:val="007064C5"/>
    <w:rsid w:val="007072BC"/>
    <w:rsid w:val="0071348B"/>
    <w:rsid w:val="0072222E"/>
    <w:rsid w:val="00726FC0"/>
    <w:rsid w:val="007278A4"/>
    <w:rsid w:val="00741470"/>
    <w:rsid w:val="007446D1"/>
    <w:rsid w:val="0074750E"/>
    <w:rsid w:val="0075153F"/>
    <w:rsid w:val="00751D7B"/>
    <w:rsid w:val="00754FB6"/>
    <w:rsid w:val="00757189"/>
    <w:rsid w:val="0076163C"/>
    <w:rsid w:val="00762314"/>
    <w:rsid w:val="007628A1"/>
    <w:rsid w:val="007655FA"/>
    <w:rsid w:val="00773DB9"/>
    <w:rsid w:val="00782889"/>
    <w:rsid w:val="007868A7"/>
    <w:rsid w:val="00790965"/>
    <w:rsid w:val="007A12D4"/>
    <w:rsid w:val="007A20AF"/>
    <w:rsid w:val="007A5318"/>
    <w:rsid w:val="007B0E10"/>
    <w:rsid w:val="007B2D7C"/>
    <w:rsid w:val="007B3311"/>
    <w:rsid w:val="007B61C5"/>
    <w:rsid w:val="007C15B9"/>
    <w:rsid w:val="007C4F93"/>
    <w:rsid w:val="007C7FC3"/>
    <w:rsid w:val="007D02FB"/>
    <w:rsid w:val="007D386E"/>
    <w:rsid w:val="007E5D0D"/>
    <w:rsid w:val="007E6E69"/>
    <w:rsid w:val="008050B3"/>
    <w:rsid w:val="0081434D"/>
    <w:rsid w:val="00815874"/>
    <w:rsid w:val="008160AB"/>
    <w:rsid w:val="00820783"/>
    <w:rsid w:val="00821D1E"/>
    <w:rsid w:val="00823CD7"/>
    <w:rsid w:val="00823E9B"/>
    <w:rsid w:val="00824BFB"/>
    <w:rsid w:val="00830526"/>
    <w:rsid w:val="00834E88"/>
    <w:rsid w:val="0083614F"/>
    <w:rsid w:val="00836F34"/>
    <w:rsid w:val="0084742B"/>
    <w:rsid w:val="00851CA4"/>
    <w:rsid w:val="0085605A"/>
    <w:rsid w:val="00856B3E"/>
    <w:rsid w:val="008659A5"/>
    <w:rsid w:val="00865A08"/>
    <w:rsid w:val="0086632A"/>
    <w:rsid w:val="0087011E"/>
    <w:rsid w:val="00876531"/>
    <w:rsid w:val="00880A06"/>
    <w:rsid w:val="00881C23"/>
    <w:rsid w:val="00883D6C"/>
    <w:rsid w:val="00886207"/>
    <w:rsid w:val="008870D0"/>
    <w:rsid w:val="00890F0D"/>
    <w:rsid w:val="008A48E6"/>
    <w:rsid w:val="008B115C"/>
    <w:rsid w:val="008B49CE"/>
    <w:rsid w:val="008B5F22"/>
    <w:rsid w:val="008C231A"/>
    <w:rsid w:val="008D4A4F"/>
    <w:rsid w:val="008D7355"/>
    <w:rsid w:val="008E2A42"/>
    <w:rsid w:val="008E5E54"/>
    <w:rsid w:val="008F4DDA"/>
    <w:rsid w:val="00902A4F"/>
    <w:rsid w:val="00911402"/>
    <w:rsid w:val="0091222D"/>
    <w:rsid w:val="00920203"/>
    <w:rsid w:val="0092087D"/>
    <w:rsid w:val="00920FEB"/>
    <w:rsid w:val="00924706"/>
    <w:rsid w:val="00940C22"/>
    <w:rsid w:val="009471C2"/>
    <w:rsid w:val="00947AD6"/>
    <w:rsid w:val="00962A2D"/>
    <w:rsid w:val="00963F30"/>
    <w:rsid w:val="00966AA0"/>
    <w:rsid w:val="009671F5"/>
    <w:rsid w:val="00972F40"/>
    <w:rsid w:val="00974ECB"/>
    <w:rsid w:val="00975F76"/>
    <w:rsid w:val="009812A9"/>
    <w:rsid w:val="009904E5"/>
    <w:rsid w:val="009962A4"/>
    <w:rsid w:val="00997AA2"/>
    <w:rsid w:val="009A2274"/>
    <w:rsid w:val="009A31E4"/>
    <w:rsid w:val="009A4F1F"/>
    <w:rsid w:val="009C1CEB"/>
    <w:rsid w:val="009C4238"/>
    <w:rsid w:val="009C4AB3"/>
    <w:rsid w:val="009E1A0E"/>
    <w:rsid w:val="009E2DE9"/>
    <w:rsid w:val="009F2CAC"/>
    <w:rsid w:val="00A11D6B"/>
    <w:rsid w:val="00A2117D"/>
    <w:rsid w:val="00A23D26"/>
    <w:rsid w:val="00A273C5"/>
    <w:rsid w:val="00A306C2"/>
    <w:rsid w:val="00A32590"/>
    <w:rsid w:val="00A327ED"/>
    <w:rsid w:val="00A352C9"/>
    <w:rsid w:val="00A355BD"/>
    <w:rsid w:val="00A35718"/>
    <w:rsid w:val="00A37A08"/>
    <w:rsid w:val="00A41C1F"/>
    <w:rsid w:val="00A4318E"/>
    <w:rsid w:val="00A50CB9"/>
    <w:rsid w:val="00A566CB"/>
    <w:rsid w:val="00A67355"/>
    <w:rsid w:val="00A7462A"/>
    <w:rsid w:val="00A8181B"/>
    <w:rsid w:val="00A8393F"/>
    <w:rsid w:val="00A968A5"/>
    <w:rsid w:val="00AA0A05"/>
    <w:rsid w:val="00AA26C7"/>
    <w:rsid w:val="00AA47FE"/>
    <w:rsid w:val="00AB00F6"/>
    <w:rsid w:val="00AB2B63"/>
    <w:rsid w:val="00AB3E6E"/>
    <w:rsid w:val="00AB5C98"/>
    <w:rsid w:val="00AC7C9E"/>
    <w:rsid w:val="00AC7EEF"/>
    <w:rsid w:val="00AD1722"/>
    <w:rsid w:val="00AD239C"/>
    <w:rsid w:val="00AD7F50"/>
    <w:rsid w:val="00AE0FC4"/>
    <w:rsid w:val="00AE5F8F"/>
    <w:rsid w:val="00B11FE8"/>
    <w:rsid w:val="00B121A8"/>
    <w:rsid w:val="00B14131"/>
    <w:rsid w:val="00B16E7C"/>
    <w:rsid w:val="00B20DC9"/>
    <w:rsid w:val="00B25777"/>
    <w:rsid w:val="00B27308"/>
    <w:rsid w:val="00B32B1D"/>
    <w:rsid w:val="00B41640"/>
    <w:rsid w:val="00B44806"/>
    <w:rsid w:val="00B51A2D"/>
    <w:rsid w:val="00B55B22"/>
    <w:rsid w:val="00B5736D"/>
    <w:rsid w:val="00B60841"/>
    <w:rsid w:val="00B67401"/>
    <w:rsid w:val="00B67D57"/>
    <w:rsid w:val="00B71B30"/>
    <w:rsid w:val="00B73C41"/>
    <w:rsid w:val="00B7457E"/>
    <w:rsid w:val="00B74D39"/>
    <w:rsid w:val="00B754F3"/>
    <w:rsid w:val="00BA114E"/>
    <w:rsid w:val="00BA2C3C"/>
    <w:rsid w:val="00BB525F"/>
    <w:rsid w:val="00BB5BCC"/>
    <w:rsid w:val="00BB6E3E"/>
    <w:rsid w:val="00BD0C1B"/>
    <w:rsid w:val="00BD59D9"/>
    <w:rsid w:val="00BE0E75"/>
    <w:rsid w:val="00BE1983"/>
    <w:rsid w:val="00BE4681"/>
    <w:rsid w:val="00BE75B4"/>
    <w:rsid w:val="00BE7E24"/>
    <w:rsid w:val="00BF173E"/>
    <w:rsid w:val="00BF7629"/>
    <w:rsid w:val="00C02F71"/>
    <w:rsid w:val="00C03066"/>
    <w:rsid w:val="00C04780"/>
    <w:rsid w:val="00C15B1A"/>
    <w:rsid w:val="00C2050A"/>
    <w:rsid w:val="00C3112C"/>
    <w:rsid w:val="00C35502"/>
    <w:rsid w:val="00C37EFB"/>
    <w:rsid w:val="00C50BDB"/>
    <w:rsid w:val="00C57197"/>
    <w:rsid w:val="00C57948"/>
    <w:rsid w:val="00C63237"/>
    <w:rsid w:val="00C6335D"/>
    <w:rsid w:val="00C67778"/>
    <w:rsid w:val="00C72E58"/>
    <w:rsid w:val="00C75647"/>
    <w:rsid w:val="00C80565"/>
    <w:rsid w:val="00C82332"/>
    <w:rsid w:val="00C86FAA"/>
    <w:rsid w:val="00C878DA"/>
    <w:rsid w:val="00C87AC6"/>
    <w:rsid w:val="00C976BE"/>
    <w:rsid w:val="00C97E25"/>
    <w:rsid w:val="00C97F88"/>
    <w:rsid w:val="00CA1378"/>
    <w:rsid w:val="00CA7B21"/>
    <w:rsid w:val="00CB0266"/>
    <w:rsid w:val="00CB0F5E"/>
    <w:rsid w:val="00CB2732"/>
    <w:rsid w:val="00CE1A11"/>
    <w:rsid w:val="00CE28AA"/>
    <w:rsid w:val="00CE6B55"/>
    <w:rsid w:val="00CF109A"/>
    <w:rsid w:val="00CF421E"/>
    <w:rsid w:val="00CF6330"/>
    <w:rsid w:val="00D13ABE"/>
    <w:rsid w:val="00D16A1C"/>
    <w:rsid w:val="00D23B17"/>
    <w:rsid w:val="00D24B83"/>
    <w:rsid w:val="00D24F54"/>
    <w:rsid w:val="00D256CB"/>
    <w:rsid w:val="00D32543"/>
    <w:rsid w:val="00D40158"/>
    <w:rsid w:val="00D408D4"/>
    <w:rsid w:val="00D433C1"/>
    <w:rsid w:val="00D43C46"/>
    <w:rsid w:val="00D45229"/>
    <w:rsid w:val="00D45C26"/>
    <w:rsid w:val="00D45D1C"/>
    <w:rsid w:val="00D471DD"/>
    <w:rsid w:val="00D5111E"/>
    <w:rsid w:val="00D51770"/>
    <w:rsid w:val="00D56084"/>
    <w:rsid w:val="00D5677E"/>
    <w:rsid w:val="00D57354"/>
    <w:rsid w:val="00D5737C"/>
    <w:rsid w:val="00D62A9A"/>
    <w:rsid w:val="00D65239"/>
    <w:rsid w:val="00D65980"/>
    <w:rsid w:val="00D75C7F"/>
    <w:rsid w:val="00D9645E"/>
    <w:rsid w:val="00DA0532"/>
    <w:rsid w:val="00DA4173"/>
    <w:rsid w:val="00DA66B2"/>
    <w:rsid w:val="00DB09A4"/>
    <w:rsid w:val="00DC23A4"/>
    <w:rsid w:val="00DC26A3"/>
    <w:rsid w:val="00DC5E38"/>
    <w:rsid w:val="00DC62E7"/>
    <w:rsid w:val="00DC73AD"/>
    <w:rsid w:val="00DD16C4"/>
    <w:rsid w:val="00DD2870"/>
    <w:rsid w:val="00DE45C9"/>
    <w:rsid w:val="00DE50D2"/>
    <w:rsid w:val="00DF12B2"/>
    <w:rsid w:val="00DF470C"/>
    <w:rsid w:val="00DF486E"/>
    <w:rsid w:val="00DF4B1A"/>
    <w:rsid w:val="00DF67BB"/>
    <w:rsid w:val="00E05025"/>
    <w:rsid w:val="00E10A3D"/>
    <w:rsid w:val="00E11160"/>
    <w:rsid w:val="00E13A4B"/>
    <w:rsid w:val="00E14637"/>
    <w:rsid w:val="00E14A0C"/>
    <w:rsid w:val="00E1693B"/>
    <w:rsid w:val="00E16C90"/>
    <w:rsid w:val="00E243C8"/>
    <w:rsid w:val="00E263C0"/>
    <w:rsid w:val="00E267AA"/>
    <w:rsid w:val="00E27B4C"/>
    <w:rsid w:val="00E31E50"/>
    <w:rsid w:val="00E36856"/>
    <w:rsid w:val="00E47BF2"/>
    <w:rsid w:val="00E52B53"/>
    <w:rsid w:val="00E556AF"/>
    <w:rsid w:val="00E60BFC"/>
    <w:rsid w:val="00E660D6"/>
    <w:rsid w:val="00E70F7F"/>
    <w:rsid w:val="00E71579"/>
    <w:rsid w:val="00E81ACD"/>
    <w:rsid w:val="00E872A7"/>
    <w:rsid w:val="00E90F14"/>
    <w:rsid w:val="00EA58C9"/>
    <w:rsid w:val="00EA5DEE"/>
    <w:rsid w:val="00EB07D7"/>
    <w:rsid w:val="00EB1BD1"/>
    <w:rsid w:val="00EB6181"/>
    <w:rsid w:val="00EB67C0"/>
    <w:rsid w:val="00EC43F8"/>
    <w:rsid w:val="00EC749D"/>
    <w:rsid w:val="00ED6BB7"/>
    <w:rsid w:val="00EE1BA7"/>
    <w:rsid w:val="00EE4137"/>
    <w:rsid w:val="00EE68A9"/>
    <w:rsid w:val="00EE7411"/>
    <w:rsid w:val="00EF3DA5"/>
    <w:rsid w:val="00EF60A9"/>
    <w:rsid w:val="00EF7114"/>
    <w:rsid w:val="00EF7501"/>
    <w:rsid w:val="00F04C16"/>
    <w:rsid w:val="00F0656F"/>
    <w:rsid w:val="00F30C12"/>
    <w:rsid w:val="00F418EC"/>
    <w:rsid w:val="00F5023B"/>
    <w:rsid w:val="00F56160"/>
    <w:rsid w:val="00F663D7"/>
    <w:rsid w:val="00F676B0"/>
    <w:rsid w:val="00F67DF1"/>
    <w:rsid w:val="00F750DC"/>
    <w:rsid w:val="00F7520A"/>
    <w:rsid w:val="00F75DD1"/>
    <w:rsid w:val="00F94B8E"/>
    <w:rsid w:val="00F97363"/>
    <w:rsid w:val="00FA4B87"/>
    <w:rsid w:val="00FA58D9"/>
    <w:rsid w:val="00FA692C"/>
    <w:rsid w:val="00FB28FF"/>
    <w:rsid w:val="00FC7756"/>
    <w:rsid w:val="00FE46F3"/>
    <w:rsid w:val="00FE4CC4"/>
    <w:rsid w:val="00FE79B9"/>
    <w:rsid w:val="00FF2243"/>
    <w:rsid w:val="00FF7345"/>
    <w:rsid w:val="4C396671"/>
    <w:rsid w:val="68250D6A"/>
    <w:rsid w:val="6C103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100" w:beforeLines="100"/>
      <w:ind w:left="431" w:hanging="431"/>
      <w:outlineLvl w:val="0"/>
    </w:pPr>
    <w:rPr>
      <w:rFonts w:ascii="微软雅黑" w:hAnsi="微软雅黑" w:eastAsia="微软雅黑"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50" w:beforeLines="5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50" w:beforeLines="50"/>
      <w:outlineLvl w:val="2"/>
    </w:pPr>
    <w:rPr>
      <w:rFonts w:ascii="微软雅黑" w:hAnsi="微软雅黑" w:eastAsia="微软雅黑"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400" w:lineRule="exact"/>
      <w:ind w:left="210" w:firstLine="210" w:firstLineChars="100"/>
    </w:pPr>
    <w:rPr>
      <w:kern w:val="2"/>
      <w:szCs w:val="24"/>
      <w:lang w:val="en-US"/>
    </w:r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0"/>
    <w:uiPriority w:val="99"/>
    <w:pPr>
      <w:tabs>
        <w:tab w:val="center" w:pos="4153"/>
        <w:tab w:val="right" w:pos="8306"/>
      </w:tabs>
      <w:snapToGrid w:val="0"/>
    </w:pPr>
    <w:rPr>
      <w:szCs w:val="18"/>
    </w:rPr>
  </w:style>
  <w:style w:type="paragraph" w:styleId="18">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40" w:lineRule="exact"/>
    </w:pPr>
    <w:rPr>
      <w:rFonts w:ascii="微软雅黑" w:hAnsi="微软雅黑" w:eastAsia="微软雅黑" w:cs="微软雅黑"/>
      <w:b/>
      <w:bCs/>
      <w:kern w:val="2"/>
      <w:szCs w:val="24"/>
      <w:lang w:val="en-US"/>
    </w:rPr>
  </w:style>
  <w:style w:type="paragraph" w:styleId="20">
    <w:name w:val="toc 2"/>
    <w:basedOn w:val="1"/>
    <w:next w:val="1"/>
    <w:autoRedefine/>
    <w:qFormat/>
    <w:uiPriority w:val="39"/>
    <w:pPr>
      <w:tabs>
        <w:tab w:val="left" w:pos="540"/>
        <w:tab w:val="left" w:pos="840"/>
        <w:tab w:val="right" w:leader="dot" w:pos="8222"/>
      </w:tabs>
      <w:spacing w:line="440" w:lineRule="exact"/>
      <w:ind w:left="198"/>
    </w:pPr>
    <w:rPr>
      <w:rFonts w:ascii="微软雅黑" w:hAnsi="微软雅黑" w:eastAsia="微软雅黑" w:cs="微软雅黑"/>
      <w:kern w:val="2"/>
      <w:szCs w:val="21"/>
      <w:lang w:val="en-US"/>
    </w:rPr>
  </w:style>
  <w:style w:type="paragraph" w:styleId="21">
    <w:name w:val="Title"/>
    <w:basedOn w:val="1"/>
    <w:next w:val="1"/>
    <w:link w:val="53"/>
    <w:qFormat/>
    <w:uiPriority w:val="0"/>
    <w:pPr>
      <w:spacing w:line="240" w:lineRule="auto"/>
      <w:jc w:val="center"/>
      <w:outlineLvl w:val="0"/>
    </w:pPr>
    <w:rPr>
      <w:rFonts w:ascii="微软雅黑" w:hAnsi="微软雅黑" w:eastAsia="微软雅黑" w:cs="微软雅黑"/>
      <w:b/>
      <w:bCs/>
      <w:sz w:val="32"/>
      <w:szCs w:val="32"/>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uiPriority w:val="0"/>
    <w:rPr>
      <w:rFonts w:ascii="微软雅黑" w:hAnsi="微软雅黑" w:eastAsia="微软雅黑"/>
      <w:b/>
      <w:bCs/>
      <w:kern w:val="32"/>
      <w:sz w:val="28"/>
      <w:szCs w:val="28"/>
    </w:rPr>
  </w:style>
  <w:style w:type="character" w:customStyle="1" w:styleId="29">
    <w:name w:val="标题 2 字符"/>
    <w:link w:val="4"/>
    <w:qFormat/>
    <w:uiPriority w:val="0"/>
    <w:rPr>
      <w:rFonts w:ascii="微软雅黑" w:hAnsi="微软雅黑" w:eastAsia="微软雅黑" w:cs="Arial"/>
      <w:b/>
      <w:bCs/>
      <w:iCs/>
      <w:color w:val="000000"/>
      <w:sz w:val="24"/>
      <w:szCs w:val="24"/>
    </w:rPr>
  </w:style>
  <w:style w:type="character" w:customStyle="1" w:styleId="30">
    <w:name w:val="页脚 字符"/>
    <w:link w:val="17"/>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微软雅黑" w:hAnsi="微软雅黑" w:eastAsia="微软雅黑" w:cs="Arial"/>
      <w:b/>
      <w:bCs/>
      <w:sz w:val="21"/>
      <w:szCs w:val="21"/>
    </w:rPr>
  </w:style>
  <w:style w:type="character" w:customStyle="1" w:styleId="35">
    <w:name w:val="批注框文本 字符"/>
    <w:link w:val="16"/>
    <w:qFormat/>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8"/>
    <w:qFormat/>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paragraph" w:customStyle="1" w:styleId="46">
    <w:name w:val="TOC 标题1"/>
    <w:basedOn w:val="2"/>
    <w:next w:val="1"/>
    <w:unhideWhenUsed/>
    <w:qFormat/>
    <w:uiPriority w:val="39"/>
    <w:pPr>
      <w:keepLines/>
      <w:numPr>
        <w:numId w:val="0"/>
      </w:numPr>
      <w:kinsoku/>
      <w:spacing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7">
    <w:name w:val="封面表格 字符"/>
    <w:basedOn w:val="24"/>
    <w:link w:val="48"/>
    <w:qFormat/>
    <w:locked/>
    <w:uiPriority w:val="0"/>
    <w:rPr>
      <w:rFonts w:ascii="微软雅黑" w:hAnsi="微软雅黑" w:eastAsia="微软雅黑" w:cs="微软雅黑"/>
      <w:sz w:val="24"/>
      <w:szCs w:val="24"/>
      <w:lang w:val="en-GB"/>
    </w:rPr>
  </w:style>
  <w:style w:type="paragraph" w:customStyle="1" w:styleId="48">
    <w:name w:val="封面表格"/>
    <w:basedOn w:val="1"/>
    <w:link w:val="47"/>
    <w:qFormat/>
    <w:uiPriority w:val="0"/>
    <w:pPr>
      <w:spacing w:line="240" w:lineRule="auto"/>
    </w:pPr>
    <w:rPr>
      <w:rFonts w:ascii="微软雅黑" w:hAnsi="微软雅黑" w:eastAsia="微软雅黑" w:cs="微软雅黑"/>
      <w:sz w:val="24"/>
      <w:szCs w:val="24"/>
    </w:rPr>
  </w:style>
  <w:style w:type="character" w:customStyle="1" w:styleId="49">
    <w:name w:val="封面页尾 字符"/>
    <w:basedOn w:val="24"/>
    <w:link w:val="50"/>
    <w:qFormat/>
    <w:locked/>
    <w:uiPriority w:val="0"/>
    <w:rPr>
      <w:rFonts w:ascii="微软雅黑" w:hAnsi="微软雅黑" w:eastAsia="微软雅黑" w:cs="微软雅黑"/>
      <w:sz w:val="18"/>
      <w:lang w:val="en-GB"/>
    </w:rPr>
  </w:style>
  <w:style w:type="paragraph" w:customStyle="1" w:styleId="50">
    <w:name w:val="封面页尾"/>
    <w:basedOn w:val="1"/>
    <w:link w:val="49"/>
    <w:qFormat/>
    <w:uiPriority w:val="0"/>
    <w:pPr>
      <w:spacing w:line="240" w:lineRule="exact"/>
    </w:pPr>
    <w:rPr>
      <w:rFonts w:ascii="微软雅黑" w:hAnsi="微软雅黑" w:eastAsia="微软雅黑" w:cs="微软雅黑"/>
      <w:sz w:val="18"/>
    </w:rPr>
  </w:style>
  <w:style w:type="character" w:customStyle="1" w:styleId="51">
    <w:name w:val="封面信息 字符"/>
    <w:basedOn w:val="47"/>
    <w:link w:val="52"/>
    <w:qFormat/>
    <w:locked/>
    <w:uiPriority w:val="0"/>
    <w:rPr>
      <w:rFonts w:ascii="微软雅黑" w:hAnsi="微软雅黑" w:eastAsia="微软雅黑" w:cs="微软雅黑"/>
      <w:sz w:val="32"/>
      <w:szCs w:val="32"/>
      <w:lang w:val="en-GB"/>
    </w:rPr>
  </w:style>
  <w:style w:type="paragraph" w:customStyle="1" w:styleId="52">
    <w:name w:val="封面信息"/>
    <w:basedOn w:val="48"/>
    <w:link w:val="51"/>
    <w:qFormat/>
    <w:uiPriority w:val="0"/>
    <w:pPr>
      <w:jc w:val="center"/>
    </w:pPr>
    <w:rPr>
      <w:sz w:val="32"/>
      <w:szCs w:val="32"/>
    </w:rPr>
  </w:style>
  <w:style w:type="character" w:customStyle="1" w:styleId="53">
    <w:name w:val="标题 字符"/>
    <w:basedOn w:val="24"/>
    <w:link w:val="21"/>
    <w:uiPriority w:val="0"/>
    <w:rPr>
      <w:rFonts w:ascii="微软雅黑" w:hAnsi="微软雅黑" w:eastAsia="微软雅黑" w:cs="微软雅黑"/>
      <w:b/>
      <w:bCs/>
      <w:sz w:val="32"/>
      <w:szCs w:val="32"/>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7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16BE6-8475-4153-ADBA-6ABC044CDABA}">
  <ds:schemaRefs/>
</ds:datastoreItem>
</file>

<file path=docProps/app.xml><?xml version="1.0" encoding="utf-8"?>
<Properties xmlns="http://schemas.openxmlformats.org/officeDocument/2006/extended-properties" xmlns:vt="http://schemas.openxmlformats.org/officeDocument/2006/docPropsVTypes">
  <Template>tmp176.dotx</Template>
  <Pages>7</Pages>
  <Words>1221</Words>
  <Characters>1480</Characters>
  <Lines>24</Lines>
  <Paragraphs>6</Paragraphs>
  <TotalTime>0</TotalTime>
  <ScaleCrop>false</ScaleCrop>
  <LinksUpToDate>false</LinksUpToDate>
  <CharactersWithSpaces>1568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2026-05-15T09:19:00Z</dcterms:created>
  <dc:creator>Administrator</dc:creator>
  <cp:lastModifiedBy>WPS_1508132194</cp:lastModifiedBy>
  <dcterms:modified xsi:type="dcterms:W3CDTF">2026-05-18T01:10:09Z</dcterms:modified>
  <dc:title>室内热湿环境预计达标比例报告书</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0569CAE54D514D0CAA4B39A0484CEF52_11</vt:lpwstr>
  </property>
  <property fmtid="{D5CDD505-2E9C-101B-9397-08002B2CF9AE}" pid="4" name="KSOTemplateDocerSaveRecord">
    <vt:lpwstr>eyJoZGlkIjoiMzg2ZGM5YzBmOGM2ZGYzZTg1NDY2ZTQ1ZGU2YmQ4MzMiLCJ1c2VySWQiOiIzMTM1OTY0ODUifQ==</vt:lpwstr>
  </property>
</Properties>
</file>